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D7CA3">
      <w:pPr>
        <w:pStyle w:val="2"/>
      </w:pPr>
      <w:r>
        <w:t>Control Group Consortium: Draft Analysis Report</w:t>
      </w:r>
    </w:p>
    <w:p w14:paraId="7976CF02">
      <w:pPr>
        <w:pStyle w:val="3"/>
      </w:pPr>
      <w:bookmarkStart w:id="0" w:name="_GoBack"/>
      <w:bookmarkEnd w:id="0"/>
      <w:r>
        <w:t>1. Scenario</w:t>
      </w:r>
    </w:p>
    <w:p w14:paraId="200CA7EB">
      <w:r>
        <w:t>The Control Group Consortium is a partnership of universities, hospitals and research institutions that share specialized facilities, equipment and technical staff across several sites. Researchers request these resources for experiments, staff approve and schedule the requests, and resources also need regular maintenance and calibration. Usage generates charges that must be split across funding sources and billed to a clearly identified responsible party. Some projects are confidential, and access to resources must be logged.</w:t>
      </w:r>
    </w:p>
    <w:p w14:paraId="026DA67E">
      <w:r>
        <w:t>Our database records projects and experiments, resource requests, scheduling decisions, maintenance and other events, actual usage, charges and their funding allocation, and access permissions and logs. Staff make qualification checks and scheduling decisions; the database stores the records that support those decisions and the queries managers need.</w:t>
      </w:r>
    </w:p>
    <w:p w14:paraId="0E021508">
      <w:r>
        <w:t>The following are out of scope: consumable inventory, payment processing, a separate authentication system, and automated scheduling.</w:t>
      </w:r>
    </w:p>
    <w:p w14:paraId="376BF73B">
      <w:pPr>
        <w:pStyle w:val="3"/>
      </w:pPr>
      <w:r>
        <w:t>2. Proposed Schema</w:t>
      </w:r>
    </w:p>
    <w:p w14:paraId="7B0753D9">
      <w:r>
        <w:t>The schema has 28 entities in six subject areas and is normalized to 3NF. Full attributes and keys are shown on the ERD. Relationships are given as one-to-one (1:1), one-to-many (1:N) or many-to-many (M:N); M:N relationships are resolved with bridge tables.</w:t>
      </w:r>
    </w:p>
    <w:p w14:paraId="6E6527A1">
      <w:pPr>
        <w:pStyle w:val="4"/>
      </w:pPr>
      <w:r>
        <w:t>People and Institutions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8"/>
        <w:gridCol w:w="6601"/>
      </w:tblGrid>
      <w:tr w14:paraId="6BA9BBC5">
        <w:trPr>
          <w:tblHeader/>
        </w:trPr>
        <w:tc>
          <w:tcPr>
            <w:tcW w:w="2758" w:type="dxa"/>
            <w:shd w:val="clear" w:color="auto" w:fill="F2F2F2"/>
          </w:tcPr>
          <w:p w14:paraId="0EBA5BFE">
            <w:r>
              <w:t>Entity</w:t>
            </w:r>
          </w:p>
        </w:tc>
        <w:tc>
          <w:tcPr>
            <w:tcW w:w="6601" w:type="dxa"/>
            <w:shd w:val="clear" w:color="auto" w:fill="F2F2F2"/>
          </w:tcPr>
          <w:p w14:paraId="6D924C64">
            <w:r>
              <w:t>Description</w:t>
            </w:r>
          </w:p>
        </w:tc>
      </w:tr>
      <w:tr w14:paraId="3B45B70D">
        <w:tc>
          <w:tcPr>
            <w:tcW w:w="2758" w:type="dxa"/>
          </w:tcPr>
          <w:p w14:paraId="5DB32083">
            <w:r>
              <w:t>Institution</w:t>
            </w:r>
          </w:p>
        </w:tc>
        <w:tc>
          <w:tcPr>
            <w:tcW w:w="6601" w:type="dxa"/>
          </w:tcPr>
          <w:p w14:paraId="49D9EAF6">
            <w:r>
              <w:t>A university, hospital or research institution in the consortium</w:t>
            </w:r>
          </w:p>
        </w:tc>
      </w:tr>
      <w:tr w14:paraId="7FD3B2A0">
        <w:tc>
          <w:tcPr>
            <w:tcW w:w="2758" w:type="dxa"/>
          </w:tcPr>
          <w:p w14:paraId="11FD4EB1">
            <w:r>
              <w:t>Department</w:t>
            </w:r>
          </w:p>
        </w:tc>
        <w:tc>
          <w:tcPr>
            <w:tcW w:w="6601" w:type="dxa"/>
          </w:tcPr>
          <w:p w14:paraId="49AB22AC">
            <w:r>
              <w:t>A department within an institution</w:t>
            </w:r>
          </w:p>
        </w:tc>
      </w:tr>
      <w:tr w14:paraId="5766FE35">
        <w:tc>
          <w:tcPr>
            <w:tcW w:w="2758" w:type="dxa"/>
          </w:tcPr>
          <w:p w14:paraId="164FEE04">
            <w:r>
              <w:t>Site</w:t>
            </w:r>
          </w:p>
        </w:tc>
        <w:tc>
          <w:tcPr>
            <w:tcW w:w="6601" w:type="dxa"/>
          </w:tcPr>
          <w:p w14:paraId="12BD77B0">
            <w:r>
              <w:t>A campus or research location of an institution</w:t>
            </w:r>
          </w:p>
        </w:tc>
      </w:tr>
      <w:tr w14:paraId="03D94F70">
        <w:tc>
          <w:tcPr>
            <w:tcW w:w="2758" w:type="dxa"/>
          </w:tcPr>
          <w:p w14:paraId="171AE269">
            <w:r>
              <w:t>Researcher</w:t>
            </w:r>
          </w:p>
        </w:tc>
        <w:tc>
          <w:tcPr>
            <w:tcW w:w="6601" w:type="dxa"/>
          </w:tcPr>
          <w:p w14:paraId="6D988C55">
            <w:r>
              <w:t>A researcher with one current home institution</w:t>
            </w:r>
          </w:p>
        </w:tc>
      </w:tr>
      <w:tr w14:paraId="2752A08A">
        <w:tc>
          <w:tcPr>
            <w:tcW w:w="2758" w:type="dxa"/>
          </w:tcPr>
          <w:p w14:paraId="6C8537E0">
            <w:r>
              <w:t>Staff</w:t>
            </w:r>
          </w:p>
        </w:tc>
        <w:tc>
          <w:tcPr>
            <w:tcW w:w="6601" w:type="dxa"/>
          </w:tcPr>
          <w:p w14:paraId="599197BC">
            <w:r>
              <w:t>Consortium technical and administrative staff</w:t>
            </w:r>
          </w:p>
        </w:tc>
      </w:tr>
      <w:tr w14:paraId="04815BD4">
        <w:tc>
          <w:tcPr>
            <w:tcW w:w="2758" w:type="dxa"/>
          </w:tcPr>
          <w:p w14:paraId="7B22A908">
            <w:r>
              <w:t>ResponsibleParty</w:t>
            </w:r>
          </w:p>
        </w:tc>
        <w:tc>
          <w:tcPr>
            <w:tcW w:w="6601" w:type="dxa"/>
          </w:tcPr>
          <w:p w14:paraId="56CBD051">
            <w:r>
              <w:t>The party that pays a charge: a researcher, an institution or a department</w:t>
            </w:r>
          </w:p>
        </w:tc>
      </w:tr>
    </w:tbl>
    <w:p w14:paraId="7324FE47">
      <w:pPr>
        <w:pStyle w:val="18"/>
        <w:numPr>
          <w:ilvl w:val="0"/>
          <w:numId w:val="1"/>
        </w:numPr>
      </w:pPr>
      <w:r>
        <w:t>Institution–Department, Institution–Site, Institution–Researcher: 1:N</w:t>
      </w:r>
    </w:p>
    <w:p w14:paraId="655D4BD5">
      <w:pPr>
        <w:pStyle w:val="18"/>
        <w:numPr>
          <w:ilvl w:val="0"/>
          <w:numId w:val="1"/>
        </w:numPr>
      </w:pPr>
      <w:r>
        <w:t>Researcher–ResponsibleParty, Institution–ResponsibleParty, Department–ResponsibleParty: 1:1 (each payer record refers to exactly one of the three)</w:t>
      </w:r>
    </w:p>
    <w:p w14:paraId="63199806">
      <w:pPr>
        <w:pStyle w:val="4"/>
      </w:pPr>
      <w:r>
        <w:t>Facilities and Equipment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5805"/>
      </w:tblGrid>
      <w:tr w14:paraId="7B74814D">
        <w:trPr>
          <w:tblHeader/>
        </w:trPr>
        <w:tc>
          <w:tcPr>
            <w:tcW w:w="3554" w:type="dxa"/>
            <w:shd w:val="clear" w:color="auto" w:fill="F2F2F2"/>
          </w:tcPr>
          <w:p w14:paraId="7393999D">
            <w:r>
              <w:t>Entity</w:t>
            </w:r>
          </w:p>
        </w:tc>
        <w:tc>
          <w:tcPr>
            <w:tcW w:w="5805" w:type="dxa"/>
            <w:shd w:val="clear" w:color="auto" w:fill="F2F2F2"/>
          </w:tcPr>
          <w:p w14:paraId="0CAEC3FE">
            <w:r>
              <w:t>Description</w:t>
            </w:r>
          </w:p>
        </w:tc>
      </w:tr>
      <w:tr w14:paraId="6319AFB8">
        <w:tc>
          <w:tcPr>
            <w:tcW w:w="3554" w:type="dxa"/>
          </w:tcPr>
          <w:p w14:paraId="5EF2B72E">
            <w:r>
              <w:t>Facility</w:t>
            </w:r>
          </w:p>
        </w:tc>
        <w:tc>
          <w:tcPr>
            <w:tcW w:w="5805" w:type="dxa"/>
          </w:tcPr>
          <w:p w14:paraId="171379B8">
            <w:r>
              <w:t>A lab, imaging suite, clean room or similar space, with its capabilities, restrictions, configuration and capacity</w:t>
            </w:r>
          </w:p>
        </w:tc>
      </w:tr>
      <w:tr w14:paraId="338A7402">
        <w:tc>
          <w:tcPr>
            <w:tcW w:w="3554" w:type="dxa"/>
          </w:tcPr>
          <w:p w14:paraId="2982DD42">
            <w:r>
              <w:t>Equipment</w:t>
            </w:r>
          </w:p>
        </w:tc>
        <w:tc>
          <w:tcPr>
            <w:tcW w:w="5805" w:type="dxa"/>
          </w:tcPr>
          <w:p w14:paraId="25CDDDD1">
            <w:r>
              <w:t>An instrument, fixed or movable, with its capabilities, restrictions and configuration</w:t>
            </w:r>
          </w:p>
        </w:tc>
      </w:tr>
      <w:tr w14:paraId="69BDFB84">
        <w:tc>
          <w:tcPr>
            <w:tcW w:w="3554" w:type="dxa"/>
          </w:tcPr>
          <w:p w14:paraId="61A099A4">
            <w:r>
              <w:t>EquipmentLocationHistory</w:t>
            </w:r>
          </w:p>
        </w:tc>
        <w:tc>
          <w:tcPr>
            <w:tcW w:w="5805" w:type="dxa"/>
          </w:tcPr>
          <w:p w14:paraId="6A6389CB">
            <w:r>
              <w:t>Which facility a piece of equipment was in, and when</w:t>
            </w:r>
          </w:p>
        </w:tc>
      </w:tr>
    </w:tbl>
    <w:p w14:paraId="7ED125B6">
      <w:pPr>
        <w:pStyle w:val="18"/>
        <w:numPr>
          <w:ilvl w:val="0"/>
          <w:numId w:val="1"/>
        </w:numPr>
      </w:pPr>
      <w:r>
        <w:t>Site–Facility: 1:N</w:t>
      </w:r>
    </w:p>
    <w:p w14:paraId="4CFCBFA5">
      <w:pPr>
        <w:pStyle w:val="18"/>
        <w:numPr>
          <w:ilvl w:val="0"/>
          <w:numId w:val="1"/>
        </w:numPr>
      </w:pPr>
      <w:r>
        <w:t>Equipment–Facility: M:N over time, through EquipmentLocationHistory</w:t>
      </w:r>
    </w:p>
    <w:p w14:paraId="1B344109">
      <w:pPr>
        <w:pStyle w:val="4"/>
      </w:pPr>
      <w:r>
        <w:t>Projects, Experiments and Requests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7"/>
        <w:gridCol w:w="6142"/>
      </w:tblGrid>
      <w:tr w14:paraId="1A561FBF">
        <w:trPr>
          <w:tblHeader/>
        </w:trPr>
        <w:tc>
          <w:tcPr>
            <w:tcW w:w="3217" w:type="dxa"/>
            <w:shd w:val="clear" w:color="auto" w:fill="F2F2F2"/>
          </w:tcPr>
          <w:p w14:paraId="1B358771">
            <w:r>
              <w:t>Entity</w:t>
            </w:r>
          </w:p>
        </w:tc>
        <w:tc>
          <w:tcPr>
            <w:tcW w:w="6142" w:type="dxa"/>
            <w:shd w:val="clear" w:color="auto" w:fill="F2F2F2"/>
          </w:tcPr>
          <w:p w14:paraId="78627792">
            <w:r>
              <w:t>Description</w:t>
            </w:r>
          </w:p>
        </w:tc>
      </w:tr>
      <w:tr w14:paraId="444A5DF3">
        <w:tc>
          <w:tcPr>
            <w:tcW w:w="3217" w:type="dxa"/>
          </w:tcPr>
          <w:p w14:paraId="7941B44E">
            <w:r>
              <w:t>Project</w:t>
            </w:r>
          </w:p>
        </w:tc>
        <w:tc>
          <w:tcPr>
            <w:tcW w:w="6142" w:type="dxa"/>
          </w:tcPr>
          <w:p w14:paraId="46D851F3">
            <w:r>
              <w:t>A research project, with its confidentiality level</w:t>
            </w:r>
          </w:p>
        </w:tc>
      </w:tr>
      <w:tr w14:paraId="5B92D9B0">
        <w:tc>
          <w:tcPr>
            <w:tcW w:w="3217" w:type="dxa"/>
          </w:tcPr>
          <w:p w14:paraId="34C8A394">
            <w:r>
              <w:t>Experiment</w:t>
            </w:r>
          </w:p>
        </w:tc>
        <w:tc>
          <w:tcPr>
            <w:tcW w:w="6142" w:type="dxa"/>
          </w:tcPr>
          <w:p w14:paraId="2E68E1DA">
            <w:r>
              <w:t>A specific experiment within a project</w:t>
            </w:r>
          </w:p>
        </w:tc>
      </w:tr>
      <w:tr w14:paraId="1EE1D573">
        <w:tc>
          <w:tcPr>
            <w:tcW w:w="3217" w:type="dxa"/>
          </w:tcPr>
          <w:p w14:paraId="5F177ECD">
            <w:r>
              <w:t>ExperimentResearcher</w:t>
            </w:r>
          </w:p>
        </w:tc>
        <w:tc>
          <w:tcPr>
            <w:tcW w:w="6142" w:type="dxa"/>
          </w:tcPr>
          <w:p w14:paraId="6EF48A29">
            <w:r>
              <w:t>Bridge: which researchers take part in an experiment, and as Lead or Collaborator</w:t>
            </w:r>
          </w:p>
        </w:tc>
      </w:tr>
      <w:tr w14:paraId="259F36D8">
        <w:tc>
          <w:tcPr>
            <w:tcW w:w="3217" w:type="dxa"/>
          </w:tcPr>
          <w:p w14:paraId="03D3AD64">
            <w:r>
              <w:t>AccessRequest</w:t>
            </w:r>
          </w:p>
        </w:tc>
        <w:tc>
          <w:tcPr>
            <w:tcW w:w="6142" w:type="dxa"/>
          </w:tcPr>
          <w:p w14:paraId="3FAFF6F4">
            <w:r>
              <w:t>A request for resources for one experiment</w:t>
            </w:r>
          </w:p>
        </w:tc>
      </w:tr>
      <w:tr w14:paraId="2BD229D6">
        <w:tc>
          <w:tcPr>
            <w:tcW w:w="3217" w:type="dxa"/>
          </w:tcPr>
          <w:p w14:paraId="011A84A5">
            <w:r>
              <w:t>ScheduleDecision</w:t>
            </w:r>
          </w:p>
        </w:tc>
        <w:tc>
          <w:tcPr>
            <w:tcW w:w="6142" w:type="dxa"/>
          </w:tcPr>
          <w:p w14:paraId="5F22044F">
            <w:r>
              <w:t>An approval, rejection, alternative proposal or schedule change, with its reason</w:t>
            </w:r>
          </w:p>
        </w:tc>
      </w:tr>
    </w:tbl>
    <w:p w14:paraId="7DB56C1F">
      <w:pPr>
        <w:pStyle w:val="18"/>
        <w:numPr>
          <w:ilvl w:val="0"/>
          <w:numId w:val="1"/>
        </w:numPr>
      </w:pPr>
      <w:r>
        <w:t>Project–Experiment: 1:N</w:t>
      </w:r>
    </w:p>
    <w:p w14:paraId="1AF88A11">
      <w:pPr>
        <w:pStyle w:val="18"/>
        <w:numPr>
          <w:ilvl w:val="0"/>
          <w:numId w:val="1"/>
        </w:numPr>
      </w:pPr>
      <w:r>
        <w:t>Experiment–Researcher: M:N, through ExperimentResearcher</w:t>
      </w:r>
    </w:p>
    <w:p w14:paraId="42065A99">
      <w:pPr>
        <w:pStyle w:val="18"/>
        <w:numPr>
          <w:ilvl w:val="0"/>
          <w:numId w:val="1"/>
        </w:numPr>
      </w:pPr>
      <w:r>
        <w:t>Experiment–AccessRequest, Researcher (requester)–AccessRequest: 1:N</w:t>
      </w:r>
    </w:p>
    <w:p w14:paraId="072297F1">
      <w:pPr>
        <w:pStyle w:val="18"/>
        <w:numPr>
          <w:ilvl w:val="0"/>
          <w:numId w:val="1"/>
        </w:numPr>
      </w:pPr>
      <w:r>
        <w:t>AccessRequest–ScheduleDecision, Event–ScheduleDecision: 1:N (each decision concerns either a request or an event)</w:t>
      </w:r>
    </w:p>
    <w:p w14:paraId="1C02E557">
      <w:pPr>
        <w:pStyle w:val="18"/>
        <w:numPr>
          <w:ilvl w:val="0"/>
          <w:numId w:val="1"/>
        </w:numPr>
      </w:pPr>
      <w:r>
        <w:t>Staff–ScheduleDecision: 1:N</w:t>
      </w:r>
    </w:p>
    <w:p w14:paraId="053A6DC4">
      <w:pPr>
        <w:pStyle w:val="4"/>
      </w:pPr>
      <w:r>
        <w:t>Scheduling and Actual Usage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8"/>
        <w:gridCol w:w="6671"/>
      </w:tblGrid>
      <w:tr w14:paraId="042622E3">
        <w:trPr>
          <w:tblHeader/>
        </w:trPr>
        <w:tc>
          <w:tcPr>
            <w:tcW w:w="2688" w:type="dxa"/>
            <w:shd w:val="clear" w:color="auto" w:fill="F2F2F2"/>
          </w:tcPr>
          <w:p w14:paraId="5B84FED0">
            <w:r>
              <w:t>Entity</w:t>
            </w:r>
          </w:p>
        </w:tc>
        <w:tc>
          <w:tcPr>
            <w:tcW w:w="6671" w:type="dxa"/>
            <w:shd w:val="clear" w:color="auto" w:fill="F2F2F2"/>
          </w:tcPr>
          <w:p w14:paraId="2F0D7449">
            <w:r>
              <w:t>Description</w:t>
            </w:r>
          </w:p>
        </w:tc>
      </w:tr>
      <w:tr w14:paraId="0250CCA6">
        <w:tc>
          <w:tcPr>
            <w:tcW w:w="2688" w:type="dxa"/>
          </w:tcPr>
          <w:p w14:paraId="54BB8AF3">
            <w:r>
              <w:t>Event</w:t>
            </w:r>
          </w:p>
        </w:tc>
        <w:tc>
          <w:tcPr>
            <w:tcW w:w="6671" w:type="dxa"/>
          </w:tcPr>
          <w:p w14:paraId="1A2E2B61">
            <w:r>
              <w:t>A session, setup, maintenance, calibration, cleaning, inspection or reconfiguration activity</w:t>
            </w:r>
          </w:p>
        </w:tc>
      </w:tr>
      <w:tr w14:paraId="1A30ACB7">
        <w:tc>
          <w:tcPr>
            <w:tcW w:w="2688" w:type="dxa"/>
          </w:tcPr>
          <w:p w14:paraId="7024C25B">
            <w:r>
              <w:t>EventFacility</w:t>
            </w:r>
          </w:p>
        </w:tc>
        <w:tc>
          <w:tcPr>
            <w:tcW w:w="6671" w:type="dxa"/>
          </w:tcPr>
          <w:p w14:paraId="794FC217">
            <w:r>
              <w:t>Bridge: a facility reserved by an event</w:t>
            </w:r>
          </w:p>
        </w:tc>
      </w:tr>
      <w:tr w14:paraId="6CCE2FF9">
        <w:tc>
          <w:tcPr>
            <w:tcW w:w="2688" w:type="dxa"/>
          </w:tcPr>
          <w:p w14:paraId="5DD9FC2C">
            <w:r>
              <w:t>EventEquipment</w:t>
            </w:r>
          </w:p>
        </w:tc>
        <w:tc>
          <w:tcPr>
            <w:tcW w:w="6671" w:type="dxa"/>
          </w:tcPr>
          <w:p w14:paraId="2BF801F6">
            <w:r>
              <w:t>Bridge: equipment reserved by an event</w:t>
            </w:r>
          </w:p>
        </w:tc>
      </w:tr>
      <w:tr w14:paraId="14185980">
        <w:tc>
          <w:tcPr>
            <w:tcW w:w="2688" w:type="dxa"/>
          </w:tcPr>
          <w:p w14:paraId="6BF39658">
            <w:r>
              <w:t>StaffAssignment</w:t>
            </w:r>
          </w:p>
        </w:tc>
        <w:tc>
          <w:tcPr>
            <w:tcW w:w="6671" w:type="dxa"/>
          </w:tcPr>
          <w:p w14:paraId="07A8250E">
            <w:r>
              <w:t>Bridge: a staff member assigned to an event</w:t>
            </w:r>
          </w:p>
        </w:tc>
      </w:tr>
      <w:tr w14:paraId="294BCF22">
        <w:tc>
          <w:tcPr>
            <w:tcW w:w="2688" w:type="dxa"/>
          </w:tcPr>
          <w:p w14:paraId="306F207C">
            <w:r>
              <w:t>StaffAvailability</w:t>
            </w:r>
          </w:p>
        </w:tc>
        <w:tc>
          <w:tcPr>
            <w:tcW w:w="6671" w:type="dxa"/>
          </w:tcPr>
          <w:p w14:paraId="2E661577">
            <w:r>
              <w:t>A period when a staff member is or is not available</w:t>
            </w:r>
          </w:p>
        </w:tc>
      </w:tr>
      <w:tr w14:paraId="5305C49D">
        <w:tc>
          <w:tcPr>
            <w:tcW w:w="2688" w:type="dxa"/>
          </w:tcPr>
          <w:p w14:paraId="6974E0C0">
            <w:r>
              <w:t>UsageRecord</w:t>
            </w:r>
          </w:p>
        </w:tc>
        <w:tc>
          <w:tcPr>
            <w:tcW w:w="6671" w:type="dxa"/>
          </w:tcPr>
          <w:p w14:paraId="6902FF3A">
            <w:r>
              <w:t>Actual use of a reservation, or actual hours worked on an assignment</w:t>
            </w:r>
          </w:p>
        </w:tc>
      </w:tr>
    </w:tbl>
    <w:p w14:paraId="20474DFA">
      <w:pPr>
        <w:pStyle w:val="18"/>
        <w:numPr>
          <w:ilvl w:val="0"/>
          <w:numId w:val="1"/>
        </w:numPr>
      </w:pPr>
      <w:r>
        <w:t>AccessRequest–Event: 1:N (optional for the event: maintenance events have no request)</w:t>
      </w:r>
    </w:p>
    <w:p w14:paraId="68E99728">
      <w:pPr>
        <w:pStyle w:val="18"/>
        <w:numPr>
          <w:ilvl w:val="0"/>
          <w:numId w:val="1"/>
        </w:numPr>
      </w:pPr>
      <w:r>
        <w:t>Event–Facility, Event–Equipment, Event–Staff: M:N, through EventFacility, EventEquipment and StaffAssignment</w:t>
      </w:r>
    </w:p>
    <w:p w14:paraId="273D1AE2">
      <w:pPr>
        <w:pStyle w:val="18"/>
        <w:numPr>
          <w:ilvl w:val="0"/>
          <w:numId w:val="1"/>
        </w:numPr>
      </w:pPr>
      <w:r>
        <w:t>Staff–StaffAvailability: 1:N</w:t>
      </w:r>
    </w:p>
    <w:p w14:paraId="18CAC944">
      <w:pPr>
        <w:pStyle w:val="18"/>
        <w:numPr>
          <w:ilvl w:val="0"/>
          <w:numId w:val="1"/>
        </w:numPr>
      </w:pPr>
      <w:r>
        <w:t>EventFacility–UsageRecord, EventEquipment–UsageRecord, StaffAssignment–UsageRecord: 1:N (each usage record comes from exactly one of them)</w:t>
      </w:r>
    </w:p>
    <w:p w14:paraId="714D7CAC">
      <w:pPr>
        <w:pStyle w:val="18"/>
        <w:numPr>
          <w:ilvl w:val="0"/>
          <w:numId w:val="1"/>
        </w:numPr>
      </w:pPr>
      <w:r>
        <w:t>Researcher–UsageRecord, Staff–UsageRecord: 1:N (each resource-use record has exactly one user)</w:t>
      </w:r>
    </w:p>
    <w:p w14:paraId="5F96CED0">
      <w:pPr>
        <w:pStyle w:val="4"/>
      </w:pPr>
      <w:r>
        <w:t>Funding and Charges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43"/>
        <w:gridCol w:w="6116"/>
      </w:tblGrid>
      <w:tr w14:paraId="6C23E541">
        <w:trPr>
          <w:tblHeader/>
        </w:trPr>
        <w:tc>
          <w:tcPr>
            <w:tcW w:w="3243" w:type="dxa"/>
            <w:shd w:val="clear" w:color="auto" w:fill="F2F2F2"/>
          </w:tcPr>
          <w:p w14:paraId="5EB1349B">
            <w:r>
              <w:t>Entity</w:t>
            </w:r>
          </w:p>
        </w:tc>
        <w:tc>
          <w:tcPr>
            <w:tcW w:w="6116" w:type="dxa"/>
            <w:shd w:val="clear" w:color="auto" w:fill="F2F2F2"/>
          </w:tcPr>
          <w:p w14:paraId="5A3BE247">
            <w:r>
              <w:t>Description</w:t>
            </w:r>
          </w:p>
        </w:tc>
      </w:tr>
      <w:tr w14:paraId="5A704B0A">
        <w:tc>
          <w:tcPr>
            <w:tcW w:w="3243" w:type="dxa"/>
          </w:tcPr>
          <w:p w14:paraId="02ACE623">
            <w:r>
              <w:t>FundingSource</w:t>
            </w:r>
          </w:p>
        </w:tc>
        <w:tc>
          <w:tcPr>
            <w:tcW w:w="6116" w:type="dxa"/>
          </w:tcPr>
          <w:p w14:paraId="10A69623">
            <w:r>
              <w:t>A grant, departmental budget, institutional fund or external sponsor</w:t>
            </w:r>
          </w:p>
        </w:tc>
      </w:tr>
      <w:tr w14:paraId="11D0A636">
        <w:tc>
          <w:tcPr>
            <w:tcW w:w="3243" w:type="dxa"/>
          </w:tcPr>
          <w:p w14:paraId="6C2153EA">
            <w:r>
              <w:t>AllocationRule</w:t>
            </w:r>
          </w:p>
        </w:tc>
        <w:tc>
          <w:tcPr>
            <w:tcW w:w="6116" w:type="dxa"/>
          </w:tcPr>
          <w:p w14:paraId="232A0D1B">
            <w:r>
              <w:t>A version of an experiment's default rule for splitting costs</w:t>
            </w:r>
          </w:p>
        </w:tc>
      </w:tr>
      <w:tr w14:paraId="25D03ED1">
        <w:tc>
          <w:tcPr>
            <w:tcW w:w="3243" w:type="dxa"/>
          </w:tcPr>
          <w:p w14:paraId="7DB80262">
            <w:r>
              <w:t>AllocationRuleFunding</w:t>
            </w:r>
          </w:p>
        </w:tc>
        <w:tc>
          <w:tcPr>
            <w:tcW w:w="6116" w:type="dxa"/>
          </w:tcPr>
          <w:p w14:paraId="4EFE6709">
            <w:r>
              <w:t>Bridge: the percentage each funding source pays under a rule</w:t>
            </w:r>
          </w:p>
        </w:tc>
      </w:tr>
      <w:tr w14:paraId="11B1BEBB">
        <w:tc>
          <w:tcPr>
            <w:tcW w:w="3243" w:type="dxa"/>
          </w:tcPr>
          <w:p w14:paraId="268BEB19">
            <w:r>
              <w:t>Charge</w:t>
            </w:r>
          </w:p>
        </w:tc>
        <w:tc>
          <w:tcPr>
            <w:tcW w:w="6116" w:type="dxa"/>
          </w:tcPr>
          <w:p w14:paraId="4E35083C">
            <w:r>
              <w:t>A single facility, equipment, staff or consumable charge</w:t>
            </w:r>
          </w:p>
        </w:tc>
      </w:tr>
      <w:tr w14:paraId="7C1B25B5">
        <w:tc>
          <w:tcPr>
            <w:tcW w:w="3243" w:type="dxa"/>
          </w:tcPr>
          <w:p w14:paraId="32A0FED3">
            <w:r>
              <w:t>ChargeAdjustment</w:t>
            </w:r>
          </w:p>
        </w:tc>
        <w:tc>
          <w:tcPr>
            <w:tcW w:w="6116" w:type="dxa"/>
          </w:tcPr>
          <w:p w14:paraId="16DC7C09">
            <w:r>
              <w:t>A refund, discount, waiver or surcharge on a charge</w:t>
            </w:r>
          </w:p>
        </w:tc>
      </w:tr>
      <w:tr w14:paraId="5FE6C337">
        <w:tc>
          <w:tcPr>
            <w:tcW w:w="3243" w:type="dxa"/>
          </w:tcPr>
          <w:p w14:paraId="7B2087F1">
            <w:r>
              <w:t>ChargeAllocation</w:t>
            </w:r>
          </w:p>
        </w:tc>
        <w:tc>
          <w:tcPr>
            <w:tcW w:w="6116" w:type="dxa"/>
          </w:tcPr>
          <w:p w14:paraId="1FE876EE">
            <w:r>
              <w:t>The amount of a charge or adjustment paid by one funding source</w:t>
            </w:r>
          </w:p>
        </w:tc>
      </w:tr>
    </w:tbl>
    <w:p w14:paraId="7C9E078B">
      <w:pPr>
        <w:pStyle w:val="18"/>
        <w:numPr>
          <w:ilvl w:val="0"/>
          <w:numId w:val="1"/>
        </w:numPr>
      </w:pPr>
      <w:r>
        <w:t>Experiment–AllocationRule: 1:N</w:t>
      </w:r>
    </w:p>
    <w:p w14:paraId="30DB2DEE">
      <w:pPr>
        <w:pStyle w:val="18"/>
        <w:numPr>
          <w:ilvl w:val="0"/>
          <w:numId w:val="1"/>
        </w:numPr>
      </w:pPr>
      <w:r>
        <w:t>AllocationRule–FundingSource: M:N, through AllocationRuleFunding (every rule has at least one funding source)</w:t>
      </w:r>
    </w:p>
    <w:p w14:paraId="7A9EDFFF">
      <w:pPr>
        <w:pStyle w:val="18"/>
        <w:numPr>
          <w:ilvl w:val="0"/>
          <w:numId w:val="1"/>
        </w:numPr>
      </w:pPr>
      <w:r>
        <w:t>Experiment–Charge, ResponsibleParty–Charge, UsageRecord–Charge: 1:N (consumable charges have no usage record)</w:t>
      </w:r>
    </w:p>
    <w:p w14:paraId="78A4A422">
      <w:pPr>
        <w:pStyle w:val="18"/>
        <w:numPr>
          <w:ilvl w:val="0"/>
          <w:numId w:val="1"/>
        </w:numPr>
      </w:pPr>
      <w:r>
        <w:t>Charge–ChargeAdjustment: 1:N</w:t>
      </w:r>
    </w:p>
    <w:p w14:paraId="7B74E785">
      <w:pPr>
        <w:pStyle w:val="18"/>
        <w:numPr>
          <w:ilvl w:val="0"/>
          <w:numId w:val="1"/>
        </w:numPr>
      </w:pPr>
      <w:r>
        <w:t>Charge–ChargeAllocation, ChargeAdjustment–ChargeAllocation, FundingSource–ChargeAllocation: 1:N (each allocation belongs to either a charge or an adjustment)</w:t>
      </w:r>
    </w:p>
    <w:p w14:paraId="01AE4A3F">
      <w:pPr>
        <w:pStyle w:val="18"/>
        <w:numPr>
          <w:ilvl w:val="0"/>
          <w:numId w:val="1"/>
        </w:numPr>
      </w:pPr>
      <w:r>
        <w:t>Staff–AllocationRule, Staff–ChargeAdjustment, Staff–Charge: 1:N (Staff as the authorizer)</w:t>
      </w:r>
    </w:p>
    <w:p w14:paraId="5045063F">
      <w:pPr>
        <w:pStyle w:val="4"/>
      </w:pPr>
      <w:r>
        <w:t>Permissions and Access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4"/>
        <w:gridCol w:w="6485"/>
      </w:tblGrid>
      <w:tr w14:paraId="3ED6B315">
        <w:trPr>
          <w:tblHeader/>
        </w:trPr>
        <w:tc>
          <w:tcPr>
            <w:tcW w:w="2874" w:type="dxa"/>
            <w:shd w:val="clear" w:color="auto" w:fill="F2F2F2"/>
          </w:tcPr>
          <w:p w14:paraId="0F5E819A">
            <w:r>
              <w:t>Entity</w:t>
            </w:r>
          </w:p>
        </w:tc>
        <w:tc>
          <w:tcPr>
            <w:tcW w:w="6485" w:type="dxa"/>
            <w:shd w:val="clear" w:color="auto" w:fill="F2F2F2"/>
          </w:tcPr>
          <w:p w14:paraId="6F1E9B29">
            <w:r>
              <w:t>Description</w:t>
            </w:r>
          </w:p>
        </w:tc>
      </w:tr>
      <w:tr w14:paraId="19BDFF75">
        <w:tc>
          <w:tcPr>
            <w:tcW w:w="2874" w:type="dxa"/>
          </w:tcPr>
          <w:p w14:paraId="70C7A0F9">
            <w:r>
              <w:t>AccessPermission</w:t>
            </w:r>
          </w:p>
        </w:tc>
        <w:tc>
          <w:tcPr>
            <w:tcW w:w="6485" w:type="dxa"/>
          </w:tcPr>
          <w:p w14:paraId="2B48FBAB">
            <w:r>
              <w:t>Permission to use a resource or to view a project's information</w:t>
            </w:r>
          </w:p>
        </w:tc>
      </w:tr>
      <w:tr w14:paraId="1A74A185">
        <w:tc>
          <w:tcPr>
            <w:tcW w:w="2874" w:type="dxa"/>
          </w:tcPr>
          <w:p w14:paraId="489048D3">
            <w:r>
              <w:t>AccessLog</w:t>
            </w:r>
          </w:p>
        </w:tc>
        <w:tc>
          <w:tcPr>
            <w:tcW w:w="6485" w:type="dxa"/>
          </w:tcPr>
          <w:p w14:paraId="7C8F59F9">
            <w:r>
              <w:t>A record of a person accessing a facility or equipment, including denied attempts</w:t>
            </w:r>
          </w:p>
        </w:tc>
      </w:tr>
    </w:tbl>
    <w:p w14:paraId="7B73E0E7">
      <w:pPr>
        <w:pStyle w:val="18"/>
        <w:numPr>
          <w:ilvl w:val="0"/>
          <w:numId w:val="1"/>
        </w:numPr>
      </w:pPr>
      <w:r>
        <w:t>Researcher–AccessPermission, Staff–AccessPermission: 1:N (each permission has exactly one holder)</w:t>
      </w:r>
    </w:p>
    <w:p w14:paraId="1920EB17">
      <w:pPr>
        <w:pStyle w:val="18"/>
        <w:numPr>
          <w:ilvl w:val="0"/>
          <w:numId w:val="1"/>
        </w:numPr>
      </w:pPr>
      <w:r>
        <w:t>Facility–AccessPermission, Equipment–AccessPermission, Project–AccessPermission: 1:N (each permission has exactly one target)</w:t>
      </w:r>
    </w:p>
    <w:p w14:paraId="011B3AA1">
      <w:pPr>
        <w:pStyle w:val="18"/>
        <w:numPr>
          <w:ilvl w:val="0"/>
          <w:numId w:val="1"/>
        </w:numPr>
      </w:pPr>
      <w:r>
        <w:t>Staff (grantor)–AccessPermission: 1:N</w:t>
      </w:r>
    </w:p>
    <w:p w14:paraId="14089DAC">
      <w:pPr>
        <w:pStyle w:val="18"/>
        <w:numPr>
          <w:ilvl w:val="0"/>
          <w:numId w:val="1"/>
        </w:numPr>
      </w:pPr>
      <w:r>
        <w:t>Researcher–AccessLog, Staff–AccessLog, Facility–AccessLog, Equipment–AccessLog: 1:N (each log has exactly one person and one resource)</w:t>
      </w:r>
    </w:p>
    <w:p w14:paraId="2FBB9227">
      <w:pPr>
        <w:pStyle w:val="3"/>
      </w:pPr>
      <w:r>
        <w:t>3. Assumptions</w:t>
      </w:r>
    </w:p>
    <w:p w14:paraId="52916FBA">
      <w:pPr>
        <w:pStyle w:val="18"/>
        <w:numPr>
          <w:ilvl w:val="0"/>
          <w:numId w:val="2"/>
        </w:numPr>
      </w:pPr>
      <w:r>
        <w:rPr>
          <w:b/>
        </w:rPr>
        <w:t>Projects and experiments.</w:t>
      </w:r>
      <w:r>
        <w:t xml:space="preserve"> A project contains zero or more experiments, and each experiment belongs to one project. Several researchers can take part in one experiment.</w:t>
      </w:r>
    </w:p>
    <w:p w14:paraId="03CB1623">
      <w:pPr>
        <w:pStyle w:val="18"/>
        <w:numPr>
          <w:ilvl w:val="0"/>
          <w:numId w:val="2"/>
        </w:numPr>
      </w:pPr>
      <w:r>
        <w:rPr>
          <w:b/>
        </w:rPr>
        <w:t>Affiliation.</w:t>
      </w:r>
      <w:r>
        <w:t xml:space="preserve"> Each researcher has one current institution, and affiliation history is not kept. Cross-institution collaboration means researchers from different institutions join the same experiment. Departments have no hierarchy, and staff are employed by the consortium rather than an institution.</w:t>
      </w:r>
    </w:p>
    <w:p w14:paraId="579E36F9">
      <w:pPr>
        <w:pStyle w:val="18"/>
        <w:numPr>
          <w:ilvl w:val="0"/>
          <w:numId w:val="2"/>
        </w:numPr>
      </w:pPr>
      <w:r>
        <w:rPr>
          <w:b/>
        </w:rPr>
        <w:t>Requests.</w:t>
      </w:r>
      <w:r>
        <w:t xml:space="preserve"> Each request has one primary requester and belongs to one experiment. An approved request can lead to several events. New needs during an experiment are submitted as new requests, so the original request is never overwritten.</w:t>
      </w:r>
    </w:p>
    <w:p w14:paraId="1CD39D86">
      <w:pPr>
        <w:pStyle w:val="18"/>
        <w:numPr>
          <w:ilvl w:val="0"/>
          <w:numId w:val="2"/>
        </w:numPr>
      </w:pPr>
      <w:r>
        <w:rPr>
          <w:b/>
        </w:rPr>
        <w:t>Events.</w:t>
      </w:r>
      <w:r>
        <w:t xml:space="preserve"> Experiment sessions, setup, maintenance, calibration, cleaning, inspection and reconfiguration are all events, distinguished by type. Each event is one continuous period, so a phased experiment has several events. Maintenance events need not belong to any request.</w:t>
      </w:r>
    </w:p>
    <w:p w14:paraId="7581DAF1">
      <w:pPr>
        <w:pStyle w:val="18"/>
        <w:numPr>
          <w:ilvl w:val="0"/>
          <w:numId w:val="2"/>
        </w:numPr>
      </w:pPr>
      <w:r>
        <w:rPr>
          <w:b/>
        </w:rPr>
        <w:t>Capacity and location.</w:t>
      </w:r>
      <w:r>
        <w:t xml:space="preserve"> A piece of equipment is used by one event at a time and is in at most one facility at a time. A facility can host up to its capacity of concurrent events, unless an event blocks the whole facility.</w:t>
      </w:r>
    </w:p>
    <w:p w14:paraId="27BC5F77">
      <w:pPr>
        <w:pStyle w:val="18"/>
        <w:numPr>
          <w:ilvl w:val="0"/>
          <w:numId w:val="2"/>
        </w:numPr>
      </w:pPr>
      <w:r>
        <w:rPr>
          <w:b/>
        </w:rPr>
        <w:t>Staff and configuration.</w:t>
      </w:r>
      <w:r>
        <w:t xml:space="preserve"> Staff expertise, resource capabilities and configurations are free-text descriptions that staff match manually. The configuration used for an event is stored on its reservation. A staff member cannot have overlapping assignments.</w:t>
      </w:r>
    </w:p>
    <w:p w14:paraId="4B16178B">
      <w:pPr>
        <w:pStyle w:val="18"/>
        <w:numPr>
          <w:ilvl w:val="0"/>
          <w:numId w:val="2"/>
        </w:numPr>
      </w:pPr>
      <w:r>
        <w:rPr>
          <w:b/>
        </w:rPr>
        <w:t>History.</w:t>
      </w:r>
      <w:r>
        <w:t xml:space="preserve"> Equipment location, schedule decisions and allocation rule versions are kept as history. Cancelled or replaced reservations and assignments are kept with their status. Changes to an experiment are recorded as decisions on its requests or events; other descriptive attributes keep only current values.</w:t>
      </w:r>
    </w:p>
    <w:p w14:paraId="3AD267CC">
      <w:pPr>
        <w:pStyle w:val="18"/>
        <w:numPr>
          <w:ilvl w:val="0"/>
          <w:numId w:val="2"/>
        </w:numPr>
      </w:pPr>
      <w:r>
        <w:rPr>
          <w:b/>
        </w:rPr>
        <w:t>Qualification and authentication.</w:t>
      </w:r>
      <w:r>
        <w:t xml:space="preserve"> Staff verify training, certification and approvals manually and record the result in AccessPermission. Authentication uses existing institutional or consortium systems that map users to a ResearcherId or StaffId; the schema stores no accounts or certificates.</w:t>
      </w:r>
    </w:p>
    <w:p w14:paraId="58B0B7C8">
      <w:pPr>
        <w:pStyle w:val="18"/>
        <w:numPr>
          <w:ilvl w:val="0"/>
          <w:numId w:val="2"/>
        </w:numPr>
      </w:pPr>
      <w:r>
        <w:rPr>
          <w:b/>
        </w:rPr>
        <w:t>Confidentiality.</w:t>
      </w:r>
      <w:r>
        <w:t xml:space="preserve"> Visibility depends on a person's role, the projects they take part in and their work assignments. Information-view permissions target a project, and resource-use permissions target a facility or equipment.</w:t>
      </w:r>
    </w:p>
    <w:p w14:paraId="5ED52515">
      <w:pPr>
        <w:pStyle w:val="18"/>
        <w:numPr>
          <w:ilvl w:val="0"/>
          <w:numId w:val="2"/>
        </w:numPr>
      </w:pPr>
      <w:r>
        <w:rPr>
          <w:b/>
        </w:rPr>
        <w:t>Funding rules.</w:t>
      </w:r>
      <w:r>
        <w:t xml:space="preserve"> Funding restrictions are descriptive and checked by staff. An experiment has at most one valid default allocation rule at a time, and its percentages sum to 100%. A charge can use a separately authorized split, recorded on the charge. Charges do not store a rule; the rule is found from the experiment and the charge date.</w:t>
      </w:r>
    </w:p>
    <w:p w14:paraId="14933600">
      <w:pPr>
        <w:pStyle w:val="18"/>
        <w:numPr>
          <w:ilvl w:val="0"/>
          <w:numId w:val="2"/>
        </w:numPr>
      </w:pPr>
      <w:r>
        <w:rPr>
          <w:b/>
        </w:rPr>
        <w:t>Payment responsibility.</w:t>
      </w:r>
      <w:r>
        <w:t xml:space="preserve"> Every charge has one cost-bearing experiment and one responsible party, which may differ from the researcher and the funding sources. A shared cost is split into several charges linked to the same usage record. Finalized allocations are not changed; later changes are recorded as adjustments with their own allocations.</w:t>
      </w:r>
    </w:p>
    <w:p w14:paraId="6A783931">
      <w:pPr>
        <w:pStyle w:val="18"/>
        <w:numPr>
          <w:ilvl w:val="0"/>
          <w:numId w:val="2"/>
        </w:numPr>
      </w:pPr>
      <w:r>
        <w:rPr>
          <w:b/>
        </w:rPr>
        <w:t>Usage and billing.</w:t>
      </w:r>
      <w:r>
        <w:t xml:space="preserve"> Planned schedules and actual usage are recorded separately, and every usage record links to a reservation or staff assignment. Charges keep quantity, unit price, and separate estimated and final amounts. Consumables are recorded only as charges. Monthly or quarterly bills are produced by summing final charges and adjustments, without an invoice entity or payment records.</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FA58AD"/>
    <w:multiLevelType w:val="multilevel"/>
    <w:tmpl w:val="AEFA58AD"/>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
    <w:nsid w:val="FDFE99AD"/>
    <w:multiLevelType w:val="multilevel"/>
    <w:tmpl w:val="FDFE99A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cumentProtection w:enforcement="0"/>
  <w:footnotePr>
    <w:footnote w:id="0"/>
    <w:footnote w:id="1"/>
  </w:footnotePr>
  <w:endnotePr>
    <w:endnote w:id="0"/>
    <w:endnote w:id="1"/>
  </w:endnotePr>
  <w:compat>
    <w:splitPgBreakAndParaMark/>
    <w:compatSetting w:name="compatibilityMode" w:uri="http://schemas.microsoft.com/office/word" w:val="12"/>
  </w:compat>
  <w:docVars>
    <w:docVar w:name="commondata" w:val="eyJoZGlkIjoiYWIwMmRhMTJmOTViMmRjZjQ0Y2ExMmIzODFmNGRmNTMifQ=="/>
  </w:docVars>
  <w:rsids>
    <w:rsidRoot w:val="00000000"/>
    <w:rsid w:val="FCDABA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uiPriority w:val="0"/>
    <w:rPr>
      <w:sz w:val="16"/>
      <w:szCs w:val="16"/>
    </w:rPr>
  </w:style>
  <w:style w:type="paragraph" w:styleId="11">
    <w:name w:val="annotation text"/>
    <w:basedOn w:val="1"/>
    <w:uiPriority w:val="0"/>
    <w:pPr>
      <w:spacing w:line="240" w:lineRule="auto"/>
    </w:pPr>
    <w:rPr>
      <w:sz w:val="20"/>
      <w:szCs w:val="20"/>
    </w:rPr>
  </w:style>
  <w:style w:type="character" w:styleId="12">
    <w:name w:val="Hyperlink"/>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Office_6.10.1.8873_F1E327BC-269C-435d-A152-05C5408002CA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2026-10-21T22:50:44Z</dcterms:created>
  <dc:creator>Data</dc:creator>
  <dc:description>Claude Docs node/19376c55-cb25@25 docx-w7</dc:description>
  <cp:lastModifiedBy>camille</cp:lastModifiedBy>
  <dcterms:modified xsi:type="dcterms:W3CDTF">2026-10-21T22:50:57Z</dcterms:modified>
  <dc:title>Control Group Consortium Draft Analysis Report</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1033-6.10.1.8873</vt:lpwstr>
  </property>
  <property fmtid="{D5CDD505-2E9C-101B-9397-08002B2CF9AE}" pid="3" name="ICV">
    <vt:lpwstr>24357AC5E1F3DE8F117AD96AD7EF3BA6_42</vt:lpwstr>
  </property>
</Properties>
</file>