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</w:rPr>
        <w:t>投稿前对照分析报告</w:t>
      </w:r>
    </w:p>
    <w:p>
      <w:pPr>
        <w:jc w:val="center"/>
      </w:pPr>
      <w:r>
        <w:rPr>
          <w:rFonts w:ascii="Times New Roman" w:hAnsi="Times New Roman" w:cs="Times New Roman"/>
          <w:i/>
          <w:sz w:val="24"/>
          <w:szCs w:val="24"/>
        </w:rPr>
        <w:t>以严格 CHI 审稿人视角，对照 CHI / CSCW 获奖论文的投稿前诊断</w:t>
      </w:r>
    </w:p>
    <w:p>
      <w:r>
        <w:rPr>
          <w:rFonts w:ascii="Times New Roman" w:hAnsi="Times New Roman" w:cs="Times New Roman"/>
          <w:sz w:val="24"/>
          <w:szCs w:val="24"/>
        </w:rPr>
        <w:t>分析对象：《When Does a Legible Latent Axis Earn a Control? An Evaluation Contract for Bounded Naive CAA/ITI Steering》</w:t>
      </w:r>
    </w:p>
    <w:p>
      <w:r>
        <w:rPr>
          <w:rFonts w:ascii="Times New Roman" w:hAnsi="Times New Roman" w:cs="Times New Roman"/>
          <w:sz w:val="24"/>
          <w:szCs w:val="24"/>
        </w:rPr>
        <w:t>拟投会议：ACM IUI（尚未投稿）</w:t>
      </w:r>
    </w:p>
    <w:p>
      <w:r>
        <w:rPr>
          <w:rFonts w:ascii="Times New Roman" w:hAnsi="Times New Roman" w:cs="Times New Roman"/>
          <w:sz w:val="24"/>
          <w:szCs w:val="24"/>
        </w:rPr>
        <w:t>生成日期：2026 年 8 月 6 日</w:t>
      </w:r>
    </w:p>
    <w:p>
      <w:r>
        <w:rPr>
          <w:rFonts w:ascii="Times New Roman" w:hAnsi="Times New Roman" w:cs="Times New Roman"/>
          <w:b/>
          <w:sz w:val="24"/>
          <w:szCs w:val="24"/>
        </w:rPr>
        <w:t>一句话结论：方法论扎实、诚实度高；投稿前的先决条件是清除参考文献中泄漏的内部核查批注（诚信隐患）。在此之上只需补两处——把否定结果讲成“领域一直在测错东西”，并让五字段合约从“对称罗列”改为“由失败推导”——即可投稿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</w:rPr>
        <w:t>目录</w:t>
      </w:r>
    </w:p>
    <w:p>
      <w:fldSimple w:instr="TOC \o &quot;1-3&quot; \h \z \u" w:dirty="true">
        <w:r>
          <w:t>Table of contents (updates when the document opens)</w:t>
        </w:r>
      </w:fldSimple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</w:rPr>
        <w:t>零、诚信类问题（最高优先级，先于三条建议处理）</w:t>
      </w:r>
    </w:p>
    <w:p>
      <w:r>
        <w:rPr>
          <w:rFonts w:ascii="Times New Roman" w:hAnsi="Times New Roman" w:cs="Times New Roman"/>
          <w:sz w:val="24"/>
          <w:szCs w:val="24"/>
        </w:rPr>
        <w:t>以下两项不占三条建议名额，必须在投稿前清零；一旦被审稿人看到，会波及全文可信度。</w:t>
      </w:r>
    </w:p>
    <w:p>
      <w:pPr>
        <w:pStyle w:val="Heading2"/>
      </w:pPr>
      <w:r>
        <w:rPr>
          <w:rFonts w:ascii="Times New Roman" w:hAnsi="Times New Roman" w:cs="Times New Roman"/>
        </w:rPr>
        <w:t>I-1　参考文献泄漏了你的内部核查批注</w:t>
      </w:r>
    </w:p>
    <w:p>
      <w:r>
        <w:rPr>
          <w:rFonts w:ascii="Times New Roman" w:hAnsi="Times New Roman" w:cs="Times New Roman"/>
          <w:sz w:val="24"/>
          <w:szCs w:val="24"/>
        </w:rPr>
        <w:t>多条参考文献末尾附有内部审核流水。例如：[23] 结尾为“VERIFIED 2026-07-28: … Open-risk #8 closed.”；[10] 附有“… UNVERIFIED-METADATA and has no BibTeX entry here.”；[13] 附有“VERIFIED-SECONDARY (DOAJ + scite.ai).”；[4][6][8][20] 附有“Preprint only.”、“Lower archival weight (poster).”。这些是你自己的核查记录，绝不能出现在投稿稿中。</w:t>
      </w:r>
    </w:p>
    <w:p>
      <w:r>
        <w:rPr>
          <w:rFonts w:ascii="Times New Roman" w:hAnsi="Times New Roman" w:cs="Times New Roman"/>
          <w:sz w:val="24"/>
          <w:szCs w:val="24"/>
        </w:rPr>
        <w:t>好消息：经抽查，承载性引用均真实且署名正确——[19] Rimsky CAA 确为 ACL 2024 Outstanding Paper，[7] Heyman“Steer Like the LLM”确为 ICML 2026，[1][12][14] 亦核对无误。因此这是清理问题，不是造假问题。</w:t>
      </w:r>
    </w:p>
    <w:p>
      <w:r>
        <w:rPr>
          <w:rFonts w:ascii="Times New Roman" w:hAnsi="Times New Roman" w:cs="Times New Roman"/>
          <w:sz w:val="24"/>
          <w:szCs w:val="24"/>
        </w:rPr>
        <w:t>改法（约 30 分钟）：每条参考文献止于 DOI / arXiv 编号，删除所有 VERIFIED-*、Preprint only、Lower archival weight、Open-risk #* closed、UNVERIFIED-METADATA 等批注文字。</w:t>
      </w:r>
    </w:p>
    <w:p>
      <w:pPr>
        <w:pStyle w:val="Heading2"/>
      </w:pPr>
      <w:r>
        <w:rPr>
          <w:rFonts w:ascii="Times New Roman" w:hAnsi="Times New Roman" w:cs="Times New Roman"/>
        </w:rPr>
        <w:t>I-2　ACM 模板占位页眉未替换</w:t>
      </w:r>
    </w:p>
    <w:p>
      <w:r>
        <w:rPr>
          <w:rFonts w:ascii="Times New Roman" w:hAnsi="Times New Roman" w:cs="Times New Roman"/>
          <w:sz w:val="24"/>
          <w:szCs w:val="24"/>
        </w:rPr>
        <w:t>“Conference'17, July 2017, Washington, DC, USA” 作为页眉出现在全部 10 个正文页——这是 ACM 示例模板从未替换的默认占位。单看可容忍，但与 I-1 叠加会让人觉得终稿是仓促收尾。</w:t>
      </w:r>
    </w:p>
    <w:p>
      <w:r>
        <w:rPr>
          <w:rFonts w:ascii="Times New Roman" w:hAnsi="Times New Roman" w:cs="Times New Roman"/>
          <w:sz w:val="24"/>
          <w:szCs w:val="24"/>
        </w:rPr>
        <w:t>改法：将版式 / 版权块设为 IUI（或匿名投稿）对应信息。</w:t>
      </w:r>
    </w:p>
    <w:p>
      <w:pPr>
        <w:pStyle w:val="Heading1"/>
      </w:pPr>
      <w:r>
        <w:rPr>
          <w:rFonts w:ascii="Times New Roman" w:hAnsi="Times New Roman" w:cs="Times New Roman"/>
        </w:rPr>
        <w:t>一、三条修改建议清单</w:t>
      </w:r>
    </w:p>
    <w:p>
      <w:r>
        <w:rPr>
          <w:rFonts w:ascii="Times New Roman" w:hAnsi="Times New Roman" w:cs="Times New Roman"/>
          <w:sz w:val="24"/>
          <w:szCs w:val="24"/>
        </w:rPr>
        <w:t>按修改性价比排序。诚信类问题已在上一节单独置顶，不占用以下三条名额。“完成”列（☐）供逐条勾选。</w:t>
      </w:r>
    </w:p>
    <w:tbl>
      <w:tblPr>
        <w:tblStyle w:val="LightGrid-Accent1"/>
        <w:tblW w:w="5000" w:type="pct"/>
        <w:tblLayout w:type="fixed"/>
        <w:tblLook w:val="0420" w:firstRow="1" w:lastRow="0" w:firstColumn="0" w:lastColumn="0" w:noHBand="0" w:noVBand="1"/>
      </w:tblPr>
      <w:tblGrid>
        <w:gridCol w:w="900"/>
        <w:gridCol w:w="1650"/>
        <w:gridCol w:w="4300"/>
        <w:gridCol w:w="1350"/>
        <w:gridCol w:w="800"/>
      </w:tblGrid>
      <w:tr>
        <w:trPr>
          <w:tblHeader/>
        </w:trPr>
        <w:tc>
          <w:tcPr>
            <w:tcW w:w="900" w:type="dxa"/>
          </w:tcPr>
          <w:p>
            <w:r>
              <w:rPr>
                <w:b/>
              </w:rPr>
              <w:t>优先级</w:t>
            </w:r>
          </w:p>
        </w:tc>
        <w:tc>
          <w:tcPr>
            <w:tcW w:w="1650" w:type="dxa"/>
          </w:tcPr>
          <w:p>
            <w:r>
              <w:rPr>
                <w:b/>
              </w:rPr>
              <w:t>改哪里</w:t>
            </w:r>
          </w:p>
        </w:tc>
        <w:tc>
          <w:tcPr>
            <w:tcW w:w="4300" w:type="dxa"/>
          </w:tcPr>
          <w:p>
            <w:r>
              <w:rPr>
                <w:b/>
              </w:rPr>
              <w:t>怎么改</w:t>
            </w:r>
          </w:p>
        </w:tc>
        <w:tc>
          <w:tcPr>
            <w:tcW w:w="1350" w:type="dxa"/>
          </w:tcPr>
          <w:p>
            <w:r>
              <w:rPr>
                <w:b/>
              </w:rPr>
              <w:t>预计耗时</w:t>
            </w:r>
          </w:p>
        </w:tc>
        <w:tc>
          <w:tcPr>
            <w:tcW w:w="800" w:type="dxa"/>
          </w:tcPr>
          <w:p>
            <w:r>
              <w:rPr>
                <w:b/>
              </w:rPr>
              <w:t>完成</w:t>
            </w:r>
          </w:p>
        </w:tc>
      </w:tr>
      <w:tr>
        <w:tc>
          <w:tcPr>
            <w:tcW w:w="900" w:type="dxa"/>
          </w:tcPr>
          <w:p>
            <w:r>
              <w:t>P1（最高性价比）</w:t>
            </w:r>
          </w:p>
        </w:tc>
        <w:tc>
          <w:tcPr>
            <w:tcW w:w="1650" w:type="dxa"/>
          </w:tcPr>
          <w:p>
            <w:r>
              <w:t>Intro 首段、Conclusion、三条贡献声明</w:t>
            </w:r>
          </w:p>
        </w:tc>
        <w:tc>
          <w:tcPr>
            <w:tcW w:w="4300" w:type="dxa"/>
          </w:tcPr>
          <w:p>
            <w:r>
              <w:t>把否定结果从“朴素 CAA/ITI 未通过测试”改写为“领域一直在用错指标（output 变化）衡量；正确门槛是相对有界 prompt 通道的增量控制”，并让这句成为全文题眼。（学 Bansal：把“是否胜过 human-alone”重构为“互补绩效”。）</w:t>
            </w:r>
          </w:p>
        </w:tc>
        <w:tc>
          <w:tcPr>
            <w:tcW w:w="1350" w:type="dxa"/>
          </w:tcPr>
          <w:p>
            <w:r>
              <w:t>3–4 小时（仅改叙述，无需新实验）</w:t>
            </w:r>
          </w:p>
        </w:tc>
        <w:tc>
          <w:tcPr>
            <w:tcW w:w="800" w:type="dxa"/>
          </w:tcPr>
          <w:p>
            <w:r>
              <w:t>☐</w:t>
            </w:r>
          </w:p>
        </w:tc>
      </w:tr>
      <w:tr>
        <w:tc>
          <w:tcPr>
            <w:tcW w:w="900" w:type="dxa"/>
          </w:tcPr>
          <w:p>
            <w:r>
              <w:t>P2</w:t>
            </w:r>
          </w:p>
        </w:tc>
        <w:tc>
          <w:tcPr>
            <w:tcW w:w="1650" w:type="dxa"/>
          </w:tcPr>
          <w:p>
            <w:r>
              <w:t>第 3 节：五字段合约</w:t>
            </w:r>
          </w:p>
        </w:tc>
        <w:tc>
          <w:tcPr>
            <w:tcW w:w="4300" w:type="dxa"/>
          </w:tcPr>
          <w:p>
            <w:r>
              <w:t>让 READ / TRANSFER / COMPARATOR / CALIBRATION / TIER 每个字段“由一处已记录的失败推导”（你已拥有 F1–F5 与 1−Brier 缺失置 0.5 的度量假象），并以 model cards / 度量理论作外部对标。（学 Vereschak：每条 guideline 皆源于语料中的失败。）</w:t>
            </w:r>
          </w:p>
        </w:tc>
        <w:tc>
          <w:tcPr>
            <w:tcW w:w="1350" w:type="dxa"/>
          </w:tcPr>
          <w:p>
            <w:r>
              <w:t>2–3 小时</w:t>
            </w:r>
          </w:p>
        </w:tc>
        <w:tc>
          <w:tcPr>
            <w:tcW w:w="800" w:type="dxa"/>
          </w:tcPr>
          <w:p>
            <w:r>
              <w:t>☐</w:t>
            </w:r>
          </w:p>
        </w:tc>
      </w:tr>
      <w:tr>
        <w:tc>
          <w:tcPr>
            <w:tcW w:w="900" w:type="dxa"/>
          </w:tcPr>
          <w:p>
            <w:r>
              <w:t>P3</w:t>
            </w:r>
          </w:p>
        </w:tc>
        <w:tc>
          <w:tcPr>
            <w:tcW w:w="1650" w:type="dxa"/>
          </w:tcPr>
          <w:p>
            <w:r>
              <w:t>全文（摘要 / Intro / 各节标题 / Discussion）</w:t>
            </w:r>
          </w:p>
        </w:tc>
        <w:tc>
          <w:tcPr>
            <w:tcW w:w="4300" w:type="dxa"/>
          </w:tcPr>
          <w:p>
            <w:r>
              <w:t>去 AI 味定向一遍：(a) 反义对称式标题只保留一处；(b) 删可删的总结句（如“Neither description is complete alone.”）；(c) 抽象堆叠式开头改为点名具体物件的句子。（学 Kaur/Bansal 的具体主谓宾。）</w:t>
            </w:r>
          </w:p>
        </w:tc>
        <w:tc>
          <w:tcPr>
            <w:tcW w:w="1350" w:type="dxa"/>
          </w:tcPr>
          <w:p>
            <w:r>
              <w:t>2 小时（定向通读）</w:t>
            </w:r>
          </w:p>
        </w:tc>
        <w:tc>
          <w:tcPr>
            <w:tcW w:w="800" w:type="dxa"/>
          </w:tcPr>
          <w:p>
            <w:r>
              <w:t>☐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/>
        </w:rPr>
        <w:t>二、我的论文风格指纹（10 条，只谈体裁与写法）</w:t>
      </w:r>
    </w:p>
    <w:p>
      <w:r>
        <w:rPr>
          <w:rFonts w:ascii="Times New Roman" w:hAnsi="Times New Roman" w:cs="Times New Roman"/>
          <w:sz w:val="24"/>
          <w:szCs w:val="24"/>
        </w:rPr>
        <w:t>① 体裁：否定结果实证 + 方法论“合约”提案的混合体；非系统、非纯理论，且明确排除系统读法（“we make no claim that the console improves understanding, reliance, or decision quality”）。</w:t>
      </w:r>
    </w:p>
    <w:p>
      <w:r>
        <w:rPr>
          <w:rFonts w:ascii="Times New Roman" w:hAnsi="Times New Roman" w:cs="Times New Roman"/>
          <w:sz w:val="24"/>
          <w:szCs w:val="24"/>
        </w:rPr>
        <w:t>② 结构骨架：风险优先。先立推断风险，压成单一研究问题，再 Related Work → 合约（第3节）→ Methods → “Results as Interface Decisions” → Discussion → Limitations → Conclusion；贡献早列且编号；一条 limitation 前置。</w:t>
      </w:r>
    </w:p>
    <w:p>
      <w:r>
        <w:rPr>
          <w:rFonts w:ascii="Times New Roman" w:hAnsi="Times New Roman" w:cs="Times New Roman"/>
          <w:sz w:val="24"/>
          <w:szCs w:val="24"/>
        </w:rPr>
        <w:t>③ 结果性质：有界零结果 + 度量效度自我批判。把最尖锐的发现主动降级（“prompt improvement… not evidence that steering directly reduces calibration from baseline”）。</w:t>
      </w:r>
    </w:p>
    <w:p>
      <w:r>
        <w:rPr>
          <w:rFonts w:ascii="Times New Roman" w:hAnsi="Times New Roman" w:cs="Times New Roman"/>
          <w:sz w:val="24"/>
          <w:szCs w:val="24"/>
        </w:rPr>
        <w:t>④ 方法论工具：相对声明规模偏重——预注册冻结判定、DEV/TEST、配对 item-cluster bootstrap（B=10,000）、Bonferroni、有意义边际、coherence gate、正控制 E-0014/E-0015、事后 TOST、MDE/功效、对抗性缺失界、独立“hostile audit”。</w:t>
      </w:r>
    </w:p>
    <w:p>
      <w:r>
        <w:rPr>
          <w:rFonts w:ascii="Times New Roman" w:hAnsi="Times New Roman" w:cs="Times New Roman"/>
          <w:sz w:val="24"/>
          <w:szCs w:val="24"/>
        </w:rPr>
        <w:t>⑤ 标题修辞：重构式反问（“…Earn a Control?”）+ 防御性窄化副标题（“Bounded Naive CAA/ITI”）；标题做规范性动作，副标题预防过度声明。</w:t>
      </w:r>
    </w:p>
    <w:p>
      <w:r>
        <w:rPr>
          <w:rFonts w:ascii="Times New Roman" w:hAnsi="Times New Roman" w:cs="Times New Roman"/>
          <w:sz w:val="24"/>
          <w:szCs w:val="24"/>
        </w:rPr>
        <w:t>⑥ 作者/工程量级：独作本科生、匿名；但双模型×双方法×三轴×多组预注册实验 + 审计 + 清单，机器量对作者/对声明比很高。</w:t>
      </w:r>
    </w:p>
    <w:p>
      <w:r>
        <w:rPr>
          <w:rFonts w:ascii="Times New Roman" w:hAnsi="Times New Roman" w:cs="Times New Roman"/>
          <w:sz w:val="24"/>
          <w:szCs w:val="24"/>
        </w:rPr>
        <w:t>⑦ 目标读者与欲改行为：面向潜变量界面 / 可解释性工具设计者；只想改一个行为——无对照行为证据前，别把可读潜方向升级为可操作滑块。</w:t>
      </w:r>
    </w:p>
    <w:p>
      <w:r>
        <w:rPr>
          <w:rFonts w:ascii="Times New Roman" w:hAnsi="Times New Roman" w:cs="Times New Roman"/>
          <w:sz w:val="24"/>
          <w:szCs w:val="24"/>
        </w:rPr>
        <w:t>⑧ 论证姿态：极度对冲、反复划界，几乎每个断言都紧跟“是 X，不是 Y”。</w:t>
      </w:r>
    </w:p>
    <w:p>
      <w:r>
        <w:rPr>
          <w:rFonts w:ascii="Times New Roman" w:hAnsi="Times New Roman" w:cs="Times New Roman"/>
          <w:sz w:val="24"/>
          <w:szCs w:val="24"/>
        </w:rPr>
        <w:t>⑨ 句式纹理：反义与三段式主导；节标题本身即反义断言（“READ Is a Precondition, Not a Control”）；抽象名词堆叠。</w:t>
      </w:r>
    </w:p>
    <w:p>
      <w:r>
        <w:rPr>
          <w:rFonts w:ascii="Times New Roman" w:hAnsi="Times New Roman" w:cs="Times New Roman"/>
          <w:sz w:val="24"/>
          <w:szCs w:val="24"/>
        </w:rPr>
        <w:t>⑩ 证据与诚信呈现：账本式、以 artifact 锚定；一切追溯到冻结 manifest、无手工编辑、探索性臂标 valid_for_paper=false——同一诚信本能正是 4.3 泄漏的来源。</w:t>
      </w:r>
    </w:p>
    <w:p>
      <w:pPr>
        <w:pStyle w:val="Heading1"/>
      </w:pPr>
      <w:r>
        <w:rPr>
          <w:rFonts w:ascii="Times New Roman" w:hAnsi="Times New Roman" w:cs="Times New Roman"/>
        </w:rPr>
        <w:t>三、对照论文清单（均经权威来源核实）</w:t>
      </w:r>
    </w:p>
    <w:p>
      <w:r>
        <w:rPr>
          <w:rFonts w:ascii="Times New Roman" w:hAnsi="Times New Roman" w:cs="Times New Roman"/>
          <w:sz w:val="24"/>
          <w:szCs w:val="24"/>
        </w:rPr>
        <w:t>共考察 6 篇候选，核实通过 3 篇，淘汰 3 篇（明细见附录 B）。核实标准：仅采信会议 / SIGCHI 官方获奖页或作者所属机构的获奖公告；二手聚合站（如 Jeff Huang 榜、cs-pedia）仅作线索，从不作为证据。</w:t>
      </w:r>
    </w:p>
    <w:tbl>
      <w:tblPr>
        <w:tblStyle w:val="LightGrid-Accent1"/>
        <w:tblW w:w="5000" w:type="pct"/>
        <w:tblLayout w:type="fixed"/>
        <w:tblLook w:val="0420" w:firstRow="1" w:lastRow="0" w:firstColumn="0" w:lastColumn="0" w:noHBand="0" w:noVBand="1"/>
      </w:tblPr>
      <w:tblGrid>
        <w:gridCol w:w="2700"/>
        <w:gridCol w:w="2100"/>
        <w:gridCol w:w="2000"/>
        <w:gridCol w:w="2226"/>
      </w:tblGrid>
      <w:tr>
        <w:trPr>
          <w:tblHeader/>
        </w:trPr>
        <w:tc>
          <w:tcPr>
            <w:tcW w:w="2700" w:type="dxa"/>
          </w:tcPr>
          <w:p>
            <w:r>
              <w:rPr>
                <w:b/>
              </w:rPr>
              <w:t>论文（标题 / 一作 / 年份 / 会议 / 获奖等级）</w:t>
            </w:r>
          </w:p>
        </w:tc>
        <w:tc>
          <w:tcPr>
            <w:tcW w:w="2100" w:type="dxa"/>
          </w:tcPr>
          <w:p>
            <w:r>
              <w:rPr>
                <w:b/>
              </w:rPr>
              <w:t>核实链接（已访问）</w:t>
            </w:r>
          </w:p>
        </w:tc>
        <w:tc>
          <w:tcPr>
            <w:tcW w:w="2000" w:type="dxa"/>
          </w:tcPr>
          <w:p>
            <w:r>
              <w:rPr>
                <w:b/>
              </w:rPr>
              <w:t>对应的风格指纹</w:t>
            </w:r>
          </w:p>
        </w:tc>
        <w:tc>
          <w:tcPr>
            <w:tcW w:w="2226" w:type="dxa"/>
          </w:tcPr>
          <w:p>
            <w:r>
              <w:rPr>
                <w:b/>
              </w:rPr>
              <w:t>最该学的一件事</w:t>
            </w:r>
          </w:p>
        </w:tc>
      </w:tr>
      <w:tr>
        <w:tc>
          <w:tcPr>
            <w:tcW w:w="2700" w:type="dxa"/>
          </w:tcPr>
          <w:p>
            <w:r>
              <w:t>《Interpreting Interpretability: Understanding Data Scientists' Use of Interpretability Tools for Machine Learning》｜Harmanpreet Kaur｜2020｜CHI｜荣誉提名（Honourable Mention）</w:t>
            </w:r>
          </w:p>
        </w:tc>
        <w:tc>
          <w:tcPr>
            <w:tcW w:w="2100" w:type="dxa"/>
          </w:tcPr>
          <w:p>
            <w:r>
              <w:t>chi2020.acm.org/for-attendees/chi-2020-best-papers-honourable-mentions/（官方页面“CHI 2020 Honourable Mentions”下列出）</w:t>
            </w:r>
          </w:p>
        </w:tc>
        <w:tc>
          <w:tcPr>
            <w:tcW w:w="2000" w:type="dxa"/>
          </w:tcPr>
          <w:p>
            <w:r>
              <w:t>指纹③+⑦：可读 / 可得的信号被误用、被过度信任——legibility ≠ 正确的行为使用，即你 READ vs TRANSFER 之分。</w:t>
            </w:r>
          </w:p>
        </w:tc>
        <w:tc>
          <w:tcPr>
            <w:tcW w:w="2226" w:type="dxa"/>
          </w:tcPr>
          <w:p>
            <w:r>
              <w:t>用真实用户“证明”失败，并用对抗性对照加固（被试连被篡改的无意义解释也照样过度信任）。你的 legibility≠control 是从模型侧 artifact 断言的；把失败“演示”出来，而非规定出来。</w:t>
            </w:r>
          </w:p>
        </w:tc>
      </w:tr>
      <w:tr>
        <w:tc>
          <w:tcPr>
            <w:tcW w:w="2700" w:type="dxa"/>
          </w:tcPr>
          <w:p>
            <w:r>
              <w:t>《Does the Whole Exceed its Parts? The Effect of AI Explanations on Complementary Team Performance》｜Gagan Bansal｜2021｜CHI｜荣誉提名（Honorable Mention）</w:t>
            </w:r>
          </w:p>
        </w:tc>
        <w:tc>
          <w:tcPr>
            <w:tcW w:w="2100" w:type="dxa"/>
          </w:tcPr>
          <w:p>
            <w:r>
              <w:t>programs.sigchi.org/chi/2021/awards/honorable-mention（官方 SIGCHI CHI'21 获奖页）+ dl.acm.org/doi/10.1145/3411764.3445717</w:t>
            </w:r>
          </w:p>
        </w:tc>
        <w:tc>
          <w:tcPr>
            <w:tcW w:w="2000" w:type="dxa"/>
          </w:tcPr>
          <w:p>
            <w:r>
              <w:t>指纹①+⑧，尤其你的“有界 prompt 对照”设计：其核心对比是“解释 vs 更简单基线（只显示置信度）”，与你的“steer vs 有界 prompt”结构同构。</w:t>
            </w:r>
          </w:p>
        </w:tc>
        <w:tc>
          <w:tcPr>
            <w:tcW w:w="2226" w:type="dxa"/>
          </w:tcPr>
          <w:p>
            <w:r>
              <w:t>用“重构领域成功指标”给零结果赋予意义（从“胜过 human-alone”改为“互补绩效”）。把你的零结果同样重构：领域测的是 output 变化，正确门槛是相对 prompt 通道的增量控制。（你最高性价比的一处借用。）</w:t>
            </w:r>
          </w:p>
        </w:tc>
      </w:tr>
      <w:tr>
        <w:tc>
          <w:tcPr>
            <w:tcW w:w="2700" w:type="dxa"/>
          </w:tcPr>
          <w:p>
            <w:r>
              <w:t>《How to Evaluate Trust in AI-Assisted Decision Making? A Survey of Empirical Methodologies》｜Oleksandra Vereschak｜2021｜CSCW（PACM HCI）｜荣誉提名（Honorable Mention）</w:t>
            </w:r>
          </w:p>
        </w:tc>
        <w:tc>
          <w:tcPr>
            <w:tcW w:w="2100" w:type="dxa"/>
          </w:tcPr>
          <w:p>
            <w:r>
              <w:t>hci.isir.upmc.fr/news/award-cscw2021-honorable-mention/（作者所属机构 ISIR-Sorbonne 公告）+ 官方 CSCW'21 获奖页 programs.sigchi.org/cscw/2021/awards</w:t>
            </w:r>
          </w:p>
        </w:tc>
        <w:tc>
          <w:tcPr>
            <w:tcW w:w="2000" w:type="dxa"/>
          </w:tcPr>
          <w:p>
            <w:r>
              <w:t>指纹④与你的核心方法论动作：它本身就是“评估方法论 / 度量合约”论文——与你的“评估合约”同体裁。</w:t>
            </w:r>
          </w:p>
        </w:tc>
        <w:tc>
          <w:tcPr>
            <w:tcW w:w="2226" w:type="dxa"/>
          </w:tcPr>
          <w:p>
            <w:r>
              <w:t>16 条 guideline 每条都由语料中一处已记录失败推导，并以成熟外部领域（人-人信任）对标。你的五字段是先验对称罗列；把每个字段锚到它所防的那处先前度量失败。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/>
        </w:rPr>
        <w:t>四、逐篇对比报告</w:t>
      </w:r>
    </w:p>
    <w:p>
      <w:pPr>
        <w:pStyle w:val="Heading2"/>
      </w:pPr>
      <w:r>
        <w:rPr>
          <w:rFonts w:ascii="Times New Roman" w:hAnsi="Times New Roman" w:cs="Times New Roman"/>
        </w:rPr>
        <w:t>4.A　对照 Kaur et al. 2020（CHI 荣誉提名）</w:t>
      </w:r>
    </w:p>
    <w:p>
      <w:pPr>
        <w:pStyle w:val="Heading3"/>
      </w:pPr>
      <w:r>
        <w:rPr>
          <w:rFonts w:ascii="Times New Roman" w:hAnsi="Times New Roman" w:cs="Times New Roman"/>
        </w:rPr>
        <w:t>4.1　AI 痕迹审计（你的原句 → 问题 → Kaur 同位置写法 → 改写）</w:t>
      </w:r>
    </w:p>
    <w:tbl>
      <w:tblPr>
        <w:tblStyle w:val="LightGrid-Accent1"/>
        <w:tblW w:w="5000" w:type="pct"/>
        <w:tblLayout w:type="fixed"/>
        <w:tblLook w:val="0420" w:firstRow="1" w:lastRow="0" w:firstColumn="0" w:lastColumn="0" w:noHBand="0" w:noVBand="1"/>
      </w:tblPr>
      <w:tblGrid>
        <w:gridCol w:w="900"/>
        <w:gridCol w:w="2200"/>
        <w:gridCol w:w="1700"/>
        <w:gridCol w:w="2100"/>
        <w:gridCol w:w="2126"/>
      </w:tblGrid>
      <w:tr>
        <w:trPr>
          <w:tblHeader/>
        </w:trPr>
        <w:tc>
          <w:tcPr>
            <w:tcW w:w="900" w:type="dxa"/>
          </w:tcPr>
          <w:p>
            <w:r>
              <w:rPr>
                <w:b/>
              </w:rPr>
              <w:t>位置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你的原句</w:t>
            </w:r>
          </w:p>
        </w:tc>
        <w:tc>
          <w:tcPr>
            <w:tcW w:w="1700" w:type="dxa"/>
          </w:tcPr>
          <w:p>
            <w:r>
              <w:rPr>
                <w:b/>
              </w:rPr>
              <w:t>问题</w:t>
            </w:r>
          </w:p>
        </w:tc>
        <w:tc>
          <w:tcPr>
            <w:tcW w:w="2100" w:type="dxa"/>
          </w:tcPr>
          <w:p>
            <w:r>
              <w:rPr>
                <w:b/>
              </w:rPr>
              <w:t>Kaur 同位置写法</w:t>
            </w:r>
          </w:p>
        </w:tc>
        <w:tc>
          <w:tcPr>
            <w:tcW w:w="2126" w:type="dxa"/>
          </w:tcPr>
          <w:p>
            <w:r>
              <w:rPr>
                <w:b/>
              </w:rPr>
              <w:t>改写建议</w:t>
            </w:r>
          </w:p>
        </w:tc>
      </w:tr>
      <w:tr>
        <w:tc>
          <w:tcPr>
            <w:tcW w:w="900" w:type="dxa"/>
          </w:tcPr>
          <w:p>
            <w:r>
              <w:t>Intro，立“重要性”处</w:t>
            </w:r>
          </w:p>
        </w:tc>
        <w:tc>
          <w:tcPr>
            <w:tcW w:w="2200" w:type="dxa"/>
          </w:tcPr>
          <w:p>
            <w:r>
              <w:t>“This distinction is consequential in human-AI interaction.”</w:t>
            </w:r>
          </w:p>
        </w:tc>
        <w:tc>
          <w:tcPr>
            <w:tcW w:w="1700" w:type="dxa"/>
          </w:tcPr>
          <w:p>
            <w:r>
              <w:t>抽象强调词（consequential）断言重要性却无具体实例；生成感的主题句。</w:t>
            </w:r>
          </w:p>
        </w:tc>
        <w:tc>
          <w:tcPr>
            <w:tcW w:w="2100" w:type="dxa"/>
          </w:tcPr>
          <w:p>
            <w:r>
              <w:t>用具体失败立论——“data scientists… cannot debug their models if they do not understand their behavior”，再点“little evaluation of whether they help”。</w:t>
            </w:r>
          </w:p>
        </w:tc>
        <w:tc>
          <w:tcPr>
            <w:tcW w:w="2126" w:type="dxa"/>
          </w:tcPr>
          <w:p>
            <w:r>
              <w:t>换成具体误判场景：“看到标着 uncertainty 的滑块，设计者会直接把它当控件发布——我们的结果表明这一步尚未被证成。”</w:t>
            </w:r>
          </w:p>
        </w:tc>
      </w:tr>
      <w:tr>
        <w:tc>
          <w:tcPr>
            <w:tcW w:w="900" w:type="dxa"/>
          </w:tcPr>
          <w:p>
            <w:r>
              <w:t>Intro，框定</w:t>
            </w:r>
          </w:p>
        </w:tc>
        <w:tc>
          <w:tcPr>
            <w:tcW w:w="2200" w:type="dxa"/>
          </w:tcPr>
          <w:p>
            <w:r>
              <w:t>“An interface does more than display a model state when it labels that state and attaches a control. It converts an interpretation into a design commitment.”</w:t>
            </w:r>
          </w:p>
        </w:tc>
        <w:tc>
          <w:tcPr>
            <w:tcW w:w="1700" w:type="dxa"/>
          </w:tcPr>
          <w:p>
            <w:r>
              <w:t>两句抽象堆叠；“converts an interpretation into a design commitment” 优雅但无指称物。</w:t>
            </w:r>
          </w:p>
        </w:tc>
        <w:tc>
          <w:tcPr>
            <w:tcW w:w="2100" w:type="dxa"/>
          </w:tcPr>
          <w:p>
            <w:r>
              <w:t>用平实动词 + 具名 artifact（“interpretability tools… output visualizations”；“few… could accurately describe” 它们）。</w:t>
            </w:r>
          </w:p>
        </w:tc>
        <w:tc>
          <w:tcPr>
            <w:tcW w:w="2126" w:type="dxa"/>
          </w:tcPr>
          <w:p>
            <w:r>
              <w:t>“在一个名为 uncertainty 的方向旁放一个滑块，就等于告诉用户：拖动它会改变模型的不确定性。”</w:t>
            </w:r>
          </w:p>
        </w:tc>
      </w:tr>
      <w:tr>
        <w:tc>
          <w:tcPr>
            <w:tcW w:w="900" w:type="dxa"/>
          </w:tcPr>
          <w:p>
            <w:r>
              <w:t>各节标题</w:t>
            </w:r>
          </w:p>
        </w:tc>
        <w:tc>
          <w:tcPr>
            <w:tcW w:w="2200" w:type="dxa"/>
          </w:tcPr>
          <w:p>
            <w:r>
              <w:t>“READ Is a Precondition, Not a Control”（以及 4+ 处反义标题）</w:t>
            </w:r>
          </w:p>
        </w:tc>
        <w:tc>
          <w:tcPr>
            <w:tcW w:w="1700" w:type="dxa"/>
          </w:tcPr>
          <w:p>
            <w:r>
              <w:t>满篇“X is not Y”标题对称，是很强的 LLM 痕迹；单看无妨，合看机械。</w:t>
            </w:r>
          </w:p>
        </w:tc>
        <w:tc>
          <w:tcPr>
            <w:tcW w:w="2100" w:type="dxa"/>
          </w:tcPr>
          <w:p>
            <w:r>
              <w:t>标题平实描述（“Study 1: Contextual Inquiry”、“Pilot Interviews”）。</w:t>
            </w:r>
          </w:p>
        </w:tc>
        <w:tc>
          <w:tcPr>
            <w:tcW w:w="2126" w:type="dxa"/>
          </w:tcPr>
          <w:p>
            <w:r>
              <w:t>只保留一处反义标题作强调；其余改描述式（“READ 度量什么”、“TRANSFER 判决”）。</w:t>
            </w:r>
          </w:p>
        </w:tc>
      </w:tr>
    </w:tbl>
    <w:p/>
    <w:p>
      <w:pPr>
        <w:pStyle w:val="Heading3"/>
      </w:pPr>
      <w:r>
        <w:rPr>
          <w:rFonts w:ascii="Times New Roman" w:hAnsi="Times New Roman" w:cs="Times New Roman"/>
        </w:rPr>
        <w:t>4.2　论证深度对比</w:t>
      </w:r>
    </w:p>
    <w:p>
      <w:r>
        <w:rPr>
          <w:rFonts w:ascii="Times New Roman" w:hAnsi="Times New Roman" w:cs="Times New Roman"/>
          <w:sz w:val="24"/>
          <w:szCs w:val="24"/>
        </w:rPr>
        <w:t>（1）Intro 必要性：Kaur 立“实践中的空白”（little evaluation of whether they help）并用用户填补；你靠断言 + 引用立空白，从未展示设计者真的做出错误推断。差距：你的问题是被规定的，她的是被观察的。</w:t>
      </w:r>
    </w:p>
    <w:p>
      <w:r>
        <w:rPr>
          <w:rFonts w:ascii="Times New Roman" w:hAnsi="Times New Roman" w:cs="Times New Roman"/>
          <w:sz w:val="24"/>
          <w:szCs w:val="24"/>
        </w:rPr>
        <w:t>（2）最强反对意见：Kaur 的反对是“也许工具真有用”，她用“连被篡改的无意义解释也被过度信任”这一内建对抗对照将其杀死；你对应的反对（零结果只是欠 scale / 仪器失灵）由 E-0014/E-0015 处理得很好——这是你最强的一节，已接近获奖水准。差距：小。</w:t>
      </w:r>
    </w:p>
    <w:p>
      <w:r>
        <w:rPr>
          <w:rFonts w:ascii="Times New Roman" w:hAnsi="Times New Roman" w:cs="Times New Roman"/>
          <w:sz w:val="24"/>
          <w:szCs w:val="24"/>
        </w:rPr>
        <w:t>（3）Limitations 诚实度：两者都坦诚。Kaur 承认主题非穷尽、单一公司数据；你承认更多（单次 READ、未复核 cell、MDE≈ 0.19–0.28）。大致持平。</w:t>
      </w:r>
    </w:p>
    <w:p>
      <w:r>
        <w:rPr>
          <w:rFonts w:ascii="Times New Roman" w:hAnsi="Times New Roman" w:cs="Times New Roman"/>
          <w:sz w:val="24"/>
          <w:szCs w:val="24"/>
        </w:rPr>
        <w:t>（4）Discussion 是否推进：Kaur 推到一般命题（“inmates running the asylum”——工具未经用户评估就造）并呼吁评估所有 stakeholder；你的 Discussion 多在复述合约字段。差距：你复述，她一般化。</w:t>
      </w:r>
    </w:p>
    <w:p>
      <w:r>
        <w:rPr>
          <w:rFonts w:ascii="Times New Roman" w:hAnsi="Times New Roman" w:cs="Times New Roman"/>
          <w:sz w:val="24"/>
          <w:szCs w:val="24"/>
        </w:rPr>
        <w:t>（5）对读者的具体要求：Kaur 要求工具设计者在发布前做用户中心评估；你的要求是隐含的。差距：把要求点名。</w:t>
      </w:r>
    </w:p>
    <w:p>
      <w:pPr>
        <w:pStyle w:val="Heading2"/>
      </w:pPr>
      <w:r>
        <w:rPr>
          <w:rFonts w:ascii="Times New Roman" w:hAnsi="Times New Roman" w:cs="Times New Roman"/>
        </w:rPr>
        <w:t>4.B　对照 Bansal et al. 2021（CHI 荣誉提名）</w:t>
      </w:r>
    </w:p>
    <w:p>
      <w:pPr>
        <w:pStyle w:val="Heading3"/>
      </w:pPr>
      <w:r>
        <w:rPr>
          <w:rFonts w:ascii="Times New Roman" w:hAnsi="Times New Roman" w:cs="Times New Roman"/>
        </w:rPr>
        <w:t>4.1　AI 痕迹审计</w:t>
      </w:r>
    </w:p>
    <w:tbl>
      <w:tblPr>
        <w:tblStyle w:val="LightGrid-Accent1"/>
        <w:tblW w:w="5000" w:type="pct"/>
        <w:tblLayout w:type="fixed"/>
        <w:tblLook w:val="0420" w:firstRow="1" w:lastRow="0" w:firstColumn="0" w:lastColumn="0" w:noHBand="0" w:noVBand="1"/>
      </w:tblPr>
      <w:tblGrid>
        <w:gridCol w:w="900"/>
        <w:gridCol w:w="2200"/>
        <w:gridCol w:w="1700"/>
        <w:gridCol w:w="2100"/>
        <w:gridCol w:w="2126"/>
      </w:tblGrid>
      <w:tr>
        <w:trPr>
          <w:tblHeader/>
        </w:trPr>
        <w:tc>
          <w:tcPr>
            <w:tcW w:w="900" w:type="dxa"/>
          </w:tcPr>
          <w:p>
            <w:r>
              <w:rPr>
                <w:b/>
              </w:rPr>
              <w:t>位置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你的原句</w:t>
            </w:r>
          </w:p>
        </w:tc>
        <w:tc>
          <w:tcPr>
            <w:tcW w:w="1700" w:type="dxa"/>
          </w:tcPr>
          <w:p>
            <w:r>
              <w:rPr>
                <w:b/>
              </w:rPr>
              <w:t>问题</w:t>
            </w:r>
          </w:p>
        </w:tc>
        <w:tc>
          <w:tcPr>
            <w:tcW w:w="2100" w:type="dxa"/>
          </w:tcPr>
          <w:p>
            <w:r>
              <w:rPr>
                <w:b/>
              </w:rPr>
              <w:t>Bansal 同位置写法</w:t>
            </w:r>
          </w:p>
        </w:tc>
        <w:tc>
          <w:tcPr>
            <w:tcW w:w="2126" w:type="dxa"/>
          </w:tcPr>
          <w:p>
            <w:r>
              <w:rPr>
                <w:b/>
              </w:rPr>
              <w:t>改写建议</w:t>
            </w:r>
          </w:p>
        </w:tc>
      </w:tr>
      <w:tr>
        <w:tc>
          <w:tcPr>
            <w:tcW w:w="900" w:type="dxa"/>
          </w:tcPr>
          <w:p>
            <w:r>
              <w:t>结果陈述</w:t>
            </w:r>
          </w:p>
        </w:tc>
        <w:tc>
          <w:tcPr>
            <w:tcW w:w="2200" w:type="dxa"/>
          </w:tcPr>
          <w:p>
            <w:r>
              <w:t>“The evidence supports a bounded failed-superiority finding for the tested naive additive methods, not a general limit on latent control.”</w:t>
            </w:r>
          </w:p>
        </w:tc>
        <w:tc>
          <w:tcPr>
            <w:tcW w:w="1700" w:type="dxa"/>
          </w:tcPr>
          <w:p>
            <w:r>
              <w:t>名词化堆叠（“bounded failed-superiority finding”）；三重对冲；难以朗读。</w:t>
            </w:r>
          </w:p>
        </w:tc>
        <w:tc>
          <w:tcPr>
            <w:tcW w:w="2100" w:type="dxa"/>
          </w:tcPr>
          <w:p>
            <w:r>
              <w:t>干脆陈述有界否定——“explanations did not appear to offer benefit compared to simply displaying the AI's confidence”，及“explanations increased reliance… even when the AI was incorrect”。</w:t>
            </w:r>
          </w:p>
        </w:tc>
        <w:tc>
          <w:tcPr>
            <w:tcW w:w="2126" w:type="dxa"/>
          </w:tcPr>
          <w:p>
            <w:r>
              <w:t>“朴素 CAA/ITI 在任何轴上都没能胜过精选 prompt。我们不主张潜控制在一般意义上不可能。”</w:t>
            </w:r>
          </w:p>
        </w:tc>
      </w:tr>
      <w:tr>
        <w:tc>
          <w:tcPr>
            <w:tcW w:w="900" w:type="dxa"/>
          </w:tcPr>
          <w:p>
            <w:r>
              <w:t>Discussion，元论断</w:t>
            </w:r>
          </w:p>
        </w:tc>
        <w:tc>
          <w:tcPr>
            <w:tcW w:w="2200" w:type="dxa"/>
          </w:tcPr>
          <w:p>
            <w:r>
              <w:t>“This specificity is not a weakness of the contract. It is the mechanism by which the contract prevents a compelling demonstration in one setting from becoming a product-wide affordance claim.”</w:t>
            </w:r>
          </w:p>
        </w:tc>
        <w:tc>
          <w:tcPr>
            <w:tcW w:w="1700" w:type="dxa"/>
          </w:tcPr>
          <w:p>
            <w:r>
              <w:t>标志性 LLM 反义（“not a weakness / it is the mechanism”）套在抽象之外。</w:t>
            </w:r>
          </w:p>
        </w:tc>
        <w:tc>
          <w:tcPr>
            <w:tcW w:w="2100" w:type="dxa"/>
          </w:tcPr>
          <w:p>
            <w:r>
              <w:t>就“为何我们的门槛才是对的”作可操作论证（以理性开发者的部署决策为据）。</w:t>
            </w:r>
          </w:p>
        </w:tc>
        <w:tc>
          <w:tcPr>
            <w:tcW w:w="2126" w:type="dxa"/>
          </w:tcPr>
          <w:p>
            <w:r>
              <w:t>“因为证据绑定到单一 model/method/axis，别处的胜利不能被悄悄挪用来为‘这个’滑块背书。”</w:t>
            </w:r>
          </w:p>
        </w:tc>
      </w:tr>
      <w:tr>
        <w:tc>
          <w:tcPr>
            <w:tcW w:w="900" w:type="dxa"/>
          </w:tcPr>
          <w:p>
            <w:r>
              <w:t>Discussion，填充句</w:t>
            </w:r>
          </w:p>
        </w:tc>
        <w:tc>
          <w:tcPr>
            <w:tcW w:w="2200" w:type="dxa"/>
          </w:tcPr>
          <w:p>
            <w:r>
              <w:t>“Neither description is complete alone.”</w:t>
            </w:r>
          </w:p>
        </w:tc>
        <w:tc>
          <w:tcPr>
            <w:tcW w:w="1700" w:type="dxa"/>
          </w:tcPr>
          <w:p>
            <w:r>
              <w:t>空洞总结句；删除测试通过（无信息损失）。</w:t>
            </w:r>
          </w:p>
        </w:tc>
        <w:tc>
          <w:tcPr>
            <w:tcW w:w="2100" w:type="dxa"/>
          </w:tcPr>
          <w:p>
            <w:r>
              <w:t>每句都承载发现，无总结填充。</w:t>
            </w:r>
          </w:p>
        </w:tc>
        <w:tc>
          <w:tcPr>
            <w:tcW w:w="2126" w:type="dxa"/>
          </w:tcPr>
          <w:p>
            <w:r>
              <w:t>删除。</w:t>
            </w:r>
          </w:p>
        </w:tc>
      </w:tr>
    </w:tbl>
    <w:p/>
    <w:p>
      <w:pPr>
        <w:pStyle w:val="Heading3"/>
      </w:pPr>
      <w:r>
        <w:rPr>
          <w:rFonts w:ascii="Times New Roman" w:hAnsi="Times New Roman" w:cs="Times New Roman"/>
        </w:rPr>
        <w:t>4.2　论证深度对比</w:t>
      </w:r>
    </w:p>
    <w:p>
      <w:r>
        <w:rPr>
          <w:rFonts w:ascii="Times New Roman" w:hAnsi="Times New Roman" w:cs="Times New Roman"/>
          <w:sz w:val="24"/>
          <w:szCs w:val="24"/>
        </w:rPr>
        <w:t>（1）Intro 必要性：Bansal 让问题“不可回避”——他指出既有“解释有用”结论都暗设 AI≫human，故领域头条是假象；你也有同类潜在假象（1−Brier / 缺失置信度的打分器），但你在 Methods 里防御性地带出，而非作为“问题为何重要”的钩子。差距：把你的度量假象变成 Intro 钩子。</w:t>
      </w:r>
    </w:p>
    <w:p>
      <w:r>
        <w:rPr>
          <w:rFonts w:ascii="Times New Roman" w:hAnsi="Times New Roman" w:cs="Times New Roman"/>
          <w:sz w:val="24"/>
          <w:szCs w:val="24"/>
        </w:rPr>
        <w:t>（2）最强反对意见：Bansal 预先化解“你的基线太弱”——用一个“刻意强但有界”的对照并报告之；你用 16 候选 prompt 通道做了同样的事（真实优点），却把理由埋没。差距：小；像 Bansal 那样在 Intro 前置。</w:t>
      </w:r>
    </w:p>
    <w:p>
      <w:r>
        <w:rPr>
          <w:rFonts w:ascii="Times New Roman" w:hAnsi="Times New Roman" w:cs="Times New Roman"/>
          <w:sz w:val="24"/>
          <w:szCs w:val="24"/>
        </w:rPr>
        <w:t>（3）Limitations：诚实度相当；你在统计自曝上甚至超过 Bansal。</w:t>
      </w:r>
    </w:p>
    <w:p>
      <w:r>
        <w:rPr>
          <w:rFonts w:ascii="Times New Roman" w:hAnsi="Times New Roman" w:cs="Times New Roman"/>
          <w:sz w:val="24"/>
          <w:szCs w:val="24"/>
        </w:rPr>
        <w:t>（4）Discussion 是否推进：Bansal 引入 Adaptive Explanation——由零结果衍生的建设性下一步；你的 Discussion 除“withhold the control”外未提出对应的建设性 artifact。差距：获奖论文把零结果转成设计提案，你止于禁令。</w:t>
      </w:r>
    </w:p>
    <w:p>
      <w:r>
        <w:rPr>
          <w:rFonts w:ascii="Times New Roman" w:hAnsi="Times New Roman" w:cs="Times New Roman"/>
          <w:sz w:val="24"/>
          <w:szCs w:val="24"/>
        </w:rPr>
        <w:t>（5）具体要求：Bansal 重构社区目标指标（追求互补绩效）；你的对应版（测相对 prompt 通道的增量控制，而非 output 变化）目前是隐含的。把它变成明确要求——这是你单点最高杠杆的借用。</w:t>
      </w:r>
    </w:p>
    <w:p>
      <w:pPr>
        <w:pStyle w:val="Heading2"/>
      </w:pPr>
      <w:r>
        <w:rPr>
          <w:rFonts w:ascii="Times New Roman" w:hAnsi="Times New Roman" w:cs="Times New Roman"/>
        </w:rPr>
        <w:t>4.C　对照 Vereschak et al. 2021（CSCW 荣誉提名）</w:t>
      </w:r>
    </w:p>
    <w:p>
      <w:pPr>
        <w:pStyle w:val="Heading3"/>
      </w:pPr>
      <w:r>
        <w:rPr>
          <w:rFonts w:ascii="Times New Roman" w:hAnsi="Times New Roman" w:cs="Times New Roman"/>
        </w:rPr>
        <w:t>4.1　AI 痕迹审计</w:t>
      </w:r>
    </w:p>
    <w:tbl>
      <w:tblPr>
        <w:tblStyle w:val="LightGrid-Accent1"/>
        <w:tblW w:w="5000" w:type="pct"/>
        <w:tblLayout w:type="fixed"/>
        <w:tblLook w:val="0420" w:firstRow="1" w:lastRow="0" w:firstColumn="0" w:lastColumn="0" w:noHBand="0" w:noVBand="1"/>
      </w:tblPr>
      <w:tblGrid>
        <w:gridCol w:w="900"/>
        <w:gridCol w:w="2200"/>
        <w:gridCol w:w="1700"/>
        <w:gridCol w:w="2100"/>
        <w:gridCol w:w="2126"/>
      </w:tblGrid>
      <w:tr>
        <w:trPr>
          <w:tblHeader/>
        </w:trPr>
        <w:tc>
          <w:tcPr>
            <w:tcW w:w="900" w:type="dxa"/>
          </w:tcPr>
          <w:p>
            <w:r>
              <w:rPr>
                <w:b/>
              </w:rPr>
              <w:t>位置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你的原句</w:t>
            </w:r>
          </w:p>
        </w:tc>
        <w:tc>
          <w:tcPr>
            <w:tcW w:w="1700" w:type="dxa"/>
          </w:tcPr>
          <w:p>
            <w:r>
              <w:rPr>
                <w:b/>
              </w:rPr>
              <w:t>问题</w:t>
            </w:r>
          </w:p>
        </w:tc>
        <w:tc>
          <w:tcPr>
            <w:tcW w:w="2100" w:type="dxa"/>
          </w:tcPr>
          <w:p>
            <w:r>
              <w:rPr>
                <w:b/>
              </w:rPr>
              <w:t>Vereschak 同位置写法</w:t>
            </w:r>
          </w:p>
        </w:tc>
        <w:tc>
          <w:tcPr>
            <w:tcW w:w="2126" w:type="dxa"/>
          </w:tcPr>
          <w:p>
            <w:r>
              <w:rPr>
                <w:b/>
              </w:rPr>
              <w:t>改写建议</w:t>
            </w:r>
          </w:p>
        </w:tc>
      </w:tr>
      <w:tr>
        <w:tc>
          <w:tcPr>
            <w:tcW w:w="900" w:type="dxa"/>
          </w:tcPr>
          <w:p>
            <w:r>
              <w:t>框架呈现</w:t>
            </w:r>
          </w:p>
        </w:tc>
        <w:tc>
          <w:tcPr>
            <w:tcW w:w="2200" w:type="dxa"/>
          </w:tcPr>
          <w:p>
            <w:r>
              <w:t>“We operationalize this progression as five fields:”（READ/TRANSFER/COMPARATOR/CALIBRATION/TIER，各为对称并列）</w:t>
            </w:r>
          </w:p>
        </w:tc>
        <w:tc>
          <w:tcPr>
            <w:tcW w:w="1700" w:type="dxa"/>
          </w:tcPr>
          <w:p>
            <w:r>
              <w:t>分类以先验对称清单登场——读来为整齐而设计，而非被证据所迫。</w:t>
            </w:r>
          </w:p>
        </w:tc>
        <w:tc>
          <w:tcPr>
            <w:tcW w:w="2100" w:type="dxa"/>
          </w:tcPr>
          <w:p>
            <w:r>
              <w:t>每条 guideline 都由语料中一处已记录失败推导（“the definition of trust is not commonly integrated in experimental protocols, which can lead to findings that are overclaimed”）。</w:t>
            </w:r>
          </w:p>
        </w:tc>
        <w:tc>
          <w:tcPr>
            <w:tcW w:w="2126" w:type="dxa"/>
          </w:tcPr>
          <w:p>
            <w:r>
              <w:t>把每个字段锚到它所防的具体失败——你已拥有那些失败（F1–F5 与缺失置信度=0.5 假象）；每个字段以“因为先前的 X 失败……”开头。</w:t>
            </w:r>
          </w:p>
        </w:tc>
      </w:tr>
      <w:tr>
        <w:tc>
          <w:tcPr>
            <w:tcW w:w="900" w:type="dxa"/>
          </w:tcPr>
          <w:p>
            <w:r>
              <w:t>校准字段</w:t>
            </w:r>
          </w:p>
        </w:tc>
        <w:tc>
          <w:tcPr>
            <w:tcW w:w="2200" w:type="dxa"/>
          </w:tcPr>
          <w:p>
            <w:r>
              <w:t>“CALIBRATION WARNING distinguishes steer-vs-prompt from steer-vs-baseline. It reports a trust-relevant contrast without turning it into an unsupported causal or mechanism claim.”</w:t>
            </w:r>
          </w:p>
        </w:tc>
        <w:tc>
          <w:tcPr>
            <w:tcW w:w="1700" w:type="dxa"/>
          </w:tcPr>
          <w:p>
            <w:r>
              <w:t>内容准确但抽象；“trust-relevant contrast” 含糊，而你手上有硬数字。</w:t>
            </w:r>
          </w:p>
        </w:tc>
        <w:tc>
          <w:tcPr>
            <w:tcW w:w="2100" w:type="dxa"/>
          </w:tcPr>
          <w:p>
            <w:r>
              <w:t>断言绑定到具体可测后果，并与外部领域实践交叉核对。</w:t>
            </w:r>
          </w:p>
        </w:tc>
        <w:tc>
          <w:tcPr>
            <w:tcW w:w="2126" w:type="dxa"/>
          </w:tcPr>
          <w:p>
            <w:r>
              <w:t>“CALIBRATION WARNING 记录哪一对对比为负（steer−prompt = −0.34），并说明 steer−baseline ≈ 0，从而界面永不渲染单一‘有害’图标。”</w:t>
            </w:r>
          </w:p>
        </w:tc>
      </w:tr>
    </w:tbl>
    <w:p/>
    <w:p>
      <w:pPr>
        <w:pStyle w:val="Heading3"/>
      </w:pPr>
      <w:r>
        <w:rPr>
          <w:rFonts w:ascii="Times New Roman" w:hAnsi="Times New Roman" w:cs="Times New Roman"/>
        </w:rPr>
        <w:t>4.2　论证深度对比</w:t>
      </w:r>
    </w:p>
    <w:p>
      <w:r>
        <w:rPr>
          <w:rFonts w:ascii="Times New Roman" w:hAnsi="Times New Roman" w:cs="Times New Roman"/>
          <w:sz w:val="24"/>
          <w:szCs w:val="24"/>
        </w:rPr>
        <w:t>（1）Intro 必要性：Vereschak 从领域级方法论漏洞立论（无标准协议 → 过度声称的信任结论）；你的合约是从你自己研究的需要立论。差距：把合约框成修复领域级问题，而非定制问题。</w:t>
      </w:r>
    </w:p>
    <w:p>
      <w:r>
        <w:rPr>
          <w:rFonts w:ascii="Times New Roman" w:hAnsi="Times New Roman" w:cs="Times New Roman"/>
          <w:sz w:val="24"/>
          <w:szCs w:val="24"/>
        </w:rPr>
        <w:t>（2）最强反对意见：Vereschak 隐含反对（“这不就是个 checklist 吗？”）被“每项都以调研证据 + 成熟学科为据”回应；你的合约无此外部锚——没有它所改进的既有界面评估标准。差距：这是你框架最弱的一侧；借她“以成熟领域对标”的动作（如 model cards / 度量理论）。</w:t>
      </w:r>
    </w:p>
    <w:p>
      <w:r>
        <w:rPr>
          <w:rFonts w:ascii="Times New Roman" w:hAnsi="Times New Roman" w:cs="Times New Roman"/>
          <w:sz w:val="24"/>
          <w:szCs w:val="24"/>
        </w:rPr>
        <w:t>（3）Limitations：两者都诚实；相当。</w:t>
      </w:r>
    </w:p>
    <w:p>
      <w:r>
        <w:rPr>
          <w:rFonts w:ascii="Times New Roman" w:hAnsi="Times New Roman" w:cs="Times New Roman"/>
          <w:sz w:val="24"/>
          <w:szCs w:val="24"/>
        </w:rPr>
        <w:t>（4）Discussion 是否推进：Vereschak 把综述转成 16 条 guideline + 9 条 research opportunities——向前有动力；你的 Discussion 多在复述五字段。差距：与对 Kaur/Bansal 同样的复述问题。</w:t>
      </w:r>
    </w:p>
    <w:p>
      <w:r>
        <w:rPr>
          <w:rFonts w:ascii="Times New Roman" w:hAnsi="Times New Roman" w:cs="Times New Roman"/>
          <w:sz w:val="24"/>
          <w:szCs w:val="24"/>
        </w:rPr>
        <w:t>（5）具体要求：Vereschak 要求社区采纳具体协议实践；你的是弥散的。差距：点名。</w:t>
      </w:r>
    </w:p>
    <w:p>
      <w:pPr>
        <w:pStyle w:val="Heading2"/>
      </w:pPr>
      <w:r>
        <w:rPr>
          <w:rFonts w:ascii="Times New Roman" w:hAnsi="Times New Roman" w:cs="Times New Roman"/>
        </w:rPr>
        <w:t>4.3　诚信类问题（详见第零节与附录 A）</w:t>
      </w:r>
    </w:p>
    <w:p>
      <w:r>
        <w:rPr>
          <w:rFonts w:ascii="Times New Roman" w:hAnsi="Times New Roman" w:cs="Times New Roman"/>
          <w:sz w:val="24"/>
          <w:szCs w:val="24"/>
        </w:rPr>
        <w:t>全文正文扫描 As an AI / I hope this helps / Would you like / [insert / TODO / placeholder / 示意 等字符串：正文均无；数字与图表编号与所引 manifest 一致。诚信隐患集中于参考文献批注泄漏（第零节 I-1）与模板页眉（I-2）；参考文献逐条核实见附录 A。</w:t>
      </w:r>
    </w:p>
    <w:p>
      <w:pPr>
        <w:pStyle w:val="Heading1"/>
      </w:pPr>
      <w:r>
        <w:rPr>
          <w:rFonts w:ascii="Times New Roman" w:hAnsi="Times New Roman" w:cs="Times New Roman"/>
        </w:rPr>
        <w:t>五、附录</w:t>
      </w:r>
    </w:p>
    <w:p>
      <w:pPr>
        <w:pStyle w:val="Heading2"/>
      </w:pPr>
      <w:r>
        <w:rPr>
          <w:rFonts w:ascii="Times New Roman" w:hAnsi="Times New Roman" w:cs="Times New Roman"/>
        </w:rPr>
        <w:t>附录 A：参考文献核实结果</w:t>
      </w:r>
    </w:p>
    <w:p>
      <w:r>
        <w:rPr>
          <w:rFonts w:ascii="Times New Roman" w:hAnsi="Times New Roman" w:cs="Times New Roman"/>
          <w:sz w:val="24"/>
          <w:szCs w:val="24"/>
        </w:rPr>
        <w:t>以下为承载性引用的核实情况（抽查）。未发现任何伪造或错署引用；余多为 2026 年 arXiv 预印本，尚未进入 DBLP，建议 camera-ready 时复核发表会议。</w:t>
      </w:r>
    </w:p>
    <w:tbl>
      <w:tblPr>
        <w:tblStyle w:val="LightGrid-Accent1"/>
        <w:tblW w:w="5000" w:type="pct"/>
        <w:tblLayout w:type="fixed"/>
        <w:tblLook w:val="0420" w:firstRow="1" w:lastRow="0" w:firstColumn="0" w:lastColumn="0" w:noHBand="0" w:noVBand="1"/>
      </w:tblPr>
      <w:tblGrid>
        <w:gridCol w:w="900"/>
        <w:gridCol w:w="3800"/>
        <w:gridCol w:w="4326"/>
      </w:tblGrid>
      <w:tr>
        <w:trPr>
          <w:tblHeader/>
        </w:trPr>
        <w:tc>
          <w:tcPr>
            <w:tcW w:w="900" w:type="dxa"/>
          </w:tcPr>
          <w:p>
            <w:r>
              <w:rPr>
                <w:b/>
              </w:rPr>
              <w:t>引用</w:t>
            </w:r>
          </w:p>
        </w:tc>
        <w:tc>
          <w:tcPr>
            <w:tcW w:w="3800" w:type="dxa"/>
          </w:tcPr>
          <w:p>
            <w:r>
              <w:rPr>
                <w:b/>
              </w:rPr>
              <w:t>条目</w:t>
            </w:r>
          </w:p>
        </w:tc>
        <w:tc>
          <w:tcPr>
            <w:tcW w:w="4326" w:type="dxa"/>
          </w:tcPr>
          <w:p>
            <w:r>
              <w:rPr>
                <w:b/>
              </w:rPr>
              <w:t>核实结果</w:t>
            </w:r>
          </w:p>
        </w:tc>
      </w:tr>
      <w:tr>
        <w:tc>
          <w:tcPr>
            <w:tcW w:w="900" w:type="dxa"/>
          </w:tcPr>
          <w:p>
            <w:r>
              <w:t>[1]</w:t>
            </w:r>
          </w:p>
        </w:tc>
        <w:tc>
          <w:tcPr>
            <w:tcW w:w="3800" w:type="dxa"/>
          </w:tcPr>
          <w:p>
            <w:r>
              <w:t>Amershi et al., Guidelines for Human-AI Interaction, CHI 2019</w:t>
            </w:r>
          </w:p>
        </w:tc>
        <w:tc>
          <w:tcPr>
            <w:tcW w:w="4326" w:type="dxa"/>
          </w:tcPr>
          <w:p>
            <w:r>
              <w:t>真实；署名 / 年份 / 会议一致（DOI 10.1145/3290605.3300233）。</w:t>
            </w:r>
          </w:p>
        </w:tc>
      </w:tr>
      <w:tr>
        <w:tc>
          <w:tcPr>
            <w:tcW w:w="900" w:type="dxa"/>
          </w:tcPr>
          <w:p>
            <w:r>
              <w:t>[7]</w:t>
            </w:r>
          </w:p>
        </w:tc>
        <w:tc>
          <w:tcPr>
            <w:tcW w:w="3800" w:type="dxa"/>
          </w:tcPr>
          <w:p>
            <w:r>
              <w:t>Heyman &amp; Vandeputte, Steer Like the LLM, ICML 2026</w:t>
            </w:r>
          </w:p>
        </w:tc>
        <w:tc>
          <w:tcPr>
            <w:tcW w:w="4326" w:type="dxa"/>
          </w:tcPr>
          <w:p>
            <w:r>
              <w:t>真实；arXiv:2605.03907；ICML 2026（spotlight/poster），Nokia Bell Labs。与正文一致。</w:t>
            </w:r>
          </w:p>
        </w:tc>
      </w:tr>
      <w:tr>
        <w:tc>
          <w:tcPr>
            <w:tcW w:w="900" w:type="dxa"/>
          </w:tcPr>
          <w:p>
            <w:r>
              <w:t>[12]</w:t>
            </w:r>
          </w:p>
        </w:tc>
        <w:tc>
          <w:tcPr>
            <w:tcW w:w="3800" w:type="dxa"/>
          </w:tcPr>
          <w:p>
            <w:r>
              <w:t>Li et al., Inference-Time Intervention, NeurIPS 2023</w:t>
            </w:r>
          </w:p>
        </w:tc>
        <w:tc>
          <w:tcPr>
            <w:tcW w:w="4326" w:type="dxa"/>
          </w:tcPr>
          <w:p>
            <w:r>
              <w:t>真实；arXiv:2306.03341；NeurIPS 2023。一致。</w:t>
            </w:r>
          </w:p>
        </w:tc>
      </w:tr>
      <w:tr>
        <w:tc>
          <w:tcPr>
            <w:tcW w:w="900" w:type="dxa"/>
          </w:tcPr>
          <w:p>
            <w:r>
              <w:t>[19]</w:t>
            </w:r>
          </w:p>
        </w:tc>
        <w:tc>
          <w:tcPr>
            <w:tcW w:w="3800" w:type="dxa"/>
          </w:tcPr>
          <w:p>
            <w:r>
              <w:t>Rimsky et al., Steering Llama 2 via Contrastive Activation Addition, ACL 2024</w:t>
            </w:r>
          </w:p>
        </w:tc>
        <w:tc>
          <w:tcPr>
            <w:tcW w:w="4326" w:type="dxa"/>
          </w:tcPr>
          <w:p>
            <w:r>
              <w:t>真实；aclanthology.org/2024.acl-long.828；确为 ACL 2024 Outstanding Paper（与正文批注一致）。</w:t>
            </w:r>
          </w:p>
        </w:tc>
      </w:tr>
      <w:tr>
        <w:tc>
          <w:tcPr>
            <w:tcW w:w="900" w:type="dxa"/>
          </w:tcPr>
          <w:p>
            <w:r>
              <w:t>其余</w:t>
            </w:r>
          </w:p>
        </w:tc>
        <w:tc>
          <w:tcPr>
            <w:tcW w:w="3800" w:type="dxa"/>
          </w:tcPr>
          <w:p>
            <w:r>
              <w:t>[14] Mishra et al.（ICLR 2026 workshop）及多条 2026 arXiv 预印本</w:t>
            </w:r>
          </w:p>
        </w:tc>
        <w:tc>
          <w:tcPr>
            <w:tcW w:w="4326" w:type="dxa"/>
          </w:tcPr>
          <w:p>
            <w:r>
              <w:t>[14] 真实（arXiv:2604.09839，工作坊论文，正文已如实标注）；其余预印本尚未进入 DBLP，无法交叉核对，但未发现伪造/错署。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/>
        </w:rPr>
        <w:t>附录 B：被淘汰候选及原因</w:t>
      </w:r>
    </w:p>
    <w:p>
      <w:r>
        <w:rPr>
          <w:rFonts w:ascii="Times New Roman" w:hAnsi="Times New Roman" w:cs="Times New Roman"/>
          <w:sz w:val="24"/>
          <w:szCs w:val="24"/>
        </w:rPr>
        <w:t>共考察 6 篇，保留 3 篇，淘汰 3 篇（宁可只留 3 篇，不凑数）。</w:t>
      </w:r>
    </w:p>
    <w:tbl>
      <w:tblPr>
        <w:tblStyle w:val="LightGrid-Accent1"/>
        <w:tblW w:w="5000" w:type="pct"/>
        <w:tblLayout w:type="fixed"/>
        <w:tblLook w:val="0420" w:firstRow="1" w:lastRow="0" w:firstColumn="0" w:lastColumn="0" w:noHBand="0" w:noVBand="1"/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候选</w:t>
            </w:r>
          </w:p>
        </w:tc>
        <w:tc>
          <w:tcPr>
            <w:tcW w:w="1500" w:type="dxa"/>
          </w:tcPr>
          <w:p>
            <w:r>
              <w:rPr>
                <w:b/>
              </w:rPr>
              <w:t>会议 / 年份</w:t>
            </w:r>
          </w:p>
        </w:tc>
        <w:tc>
          <w:tcPr>
            <w:tcW w:w="4526" w:type="dxa"/>
          </w:tcPr>
          <w:p>
            <w:r>
              <w:rPr>
                <w:b/>
              </w:rPr>
              <w:t>淘汰原因</w:t>
            </w:r>
          </w:p>
        </w:tc>
      </w:tr>
      <w:tr>
        <w:tc>
          <w:tcPr>
            <w:tcW w:w="3000" w:type="dxa"/>
          </w:tcPr>
          <w:p>
            <w:r>
              <w:t>Buçinca et al., To Trust or to Think</w:t>
            </w:r>
          </w:p>
        </w:tc>
        <w:tc>
          <w:tcPr>
            <w:tcW w:w="1500" w:type="dxa"/>
          </w:tcPr>
          <w:p>
            <w:r>
              <w:t>CSCW 2021</w:t>
            </w:r>
          </w:p>
        </w:tc>
        <w:tc>
          <w:tcPr>
            <w:tcW w:w="4526" w:type="dxa"/>
          </w:tcPr>
          <w:p>
            <w:r>
              <w:t>不在官方 CSCW 2021 Best Paper 名单（12 篇已全核）；未找到官方/机构荣誉提名确认。获奖未核实 → 淘汰。（且已被你引作 [3]，非纯外部范例。）</w:t>
            </w:r>
          </w:p>
        </w:tc>
      </w:tr>
      <w:tr>
        <w:tc>
          <w:tcPr>
            <w:tcW w:w="3000" w:type="dxa"/>
          </w:tcPr>
          <w:p>
            <w:r>
              <w:t>Poursabzi-Sangdeh et al., Manipulating and Measuring Model Interpretability</w:t>
            </w:r>
          </w:p>
        </w:tc>
        <w:tc>
          <w:tcPr>
            <w:tcW w:w="1500" w:type="dxa"/>
          </w:tcPr>
          <w:p>
            <w:r>
              <w:t>CHI 2021</w:t>
            </w:r>
          </w:p>
        </w:tc>
        <w:tc>
          <w:tcPr>
            <w:tcW w:w="4526" w:type="dxa"/>
          </w:tcPr>
          <w:p>
            <w:r>
              <w:t>指纹匹配极佳，但不在 CHI 2021 Best Paper 名单，亦未在官方 CHI'21 荣誉提名页找到。获奖未核实 → 淘汰。</w:t>
            </w:r>
          </w:p>
        </w:tc>
      </w:tr>
      <w:tr>
        <w:tc>
          <w:tcPr>
            <w:tcW w:w="3000" w:type="dxa"/>
          </w:tcPr>
          <w:p>
            <w:r>
              <w:t>Schemmer et al., Appropriate Reliance on AI Advice</w:t>
            </w:r>
          </w:p>
        </w:tc>
        <w:tc>
          <w:tcPr>
            <w:tcW w:w="1500" w:type="dxa"/>
          </w:tcPr>
          <w:p>
            <w:r>
              <w:t>IUI 2023</w:t>
            </w:r>
          </w:p>
        </w:tc>
        <w:tc>
          <w:tcPr>
            <w:tcW w:w="4526" w:type="dxa"/>
          </w:tcPr>
          <w:p>
            <w:r>
              <w:t>本可作目标会议范例，但“Best Paper”仅见于二手聚合站（cs-pedia），无官方 IUI/SIGCHI 或机构确认 → 淘汰。</w:t>
            </w:r>
          </w:p>
        </w:tc>
      </w:tr>
      <w:tr>
        <w:tc>
          <w:tcPr>
            <w:tcW w:w="3000" w:type="dxa"/>
          </w:tcPr>
          <w:p>
            <w:r>
              <w:t>UIST（整会）</w:t>
            </w:r>
          </w:p>
        </w:tc>
        <w:tc>
          <w:tcPr>
            <w:tcW w:w="1500" w:type="dxa"/>
          </w:tcPr>
          <w:p>
            <w:r>
              <w:t>—</w:t>
            </w:r>
          </w:p>
        </w:tc>
        <w:tc>
          <w:tcPr>
            <w:tcW w:w="4526" w:type="dxa"/>
          </w:tcPr>
          <w:p>
            <w:r>
              <w:t>无匹配指纹之作；UIST 以系统为主，否定结果/度量批判类稀少 → 无。</w:t>
            </w:r>
          </w:p>
        </w:tc>
      </w:tr>
    </w:tbl>
    <w:p>
      <w:r>
        <w:rPr>
          <w:rFonts w:ascii="Times New Roman" w:hAnsi="Times New Roman" w:cs="Times New Roman"/>
          <w:sz w:val="24"/>
          <w:szCs w:val="24"/>
        </w:rPr>
        <w:t>核实方法说明：官方获奖页（chi20xx.acm.org、programs.sigchi.org）与作者所属机构公告为真值源。ACM DL 抽象页与 programs.sigchi.org 因反爬无法直接抓取，故对 CHI'21 荣誉提名等采用搜索引擎缓存所复现的官方页内容，并附官方链接以便复核；全程未以二手聚合站作为获奖证据。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  <w:footerReference w:type="default" r:id="rI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t xml:space="preserve">第 </w:t>
    </w:r>
    <w:fldSimple w:instr="PAGE">
      <w:r>
        <w:t>1</w:t>
      </w:r>
    </w:fldSimple>
    <w:r>
      <w:t xml:space="preserve"> 页 / 共 </w:t>
    </w:r>
    <w:fldSimple w:instr="NUMPAGES">
      <w:r>
        <w:t>1</w:t>
      </w:r>
    </w:fldSimple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