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0DFC" w14:textId="3DCD7725" w:rsidR="00990EB2" w:rsidRDefault="00990EB2" w:rsidP="00990EB2">
      <w:pPr>
        <w:jc w:val="both"/>
      </w:pPr>
      <w:proofErr w:type="spellStart"/>
      <w:r>
        <w:t>Labelling</w:t>
      </w:r>
      <w:proofErr w:type="spellEnd"/>
      <w:r w:rsidR="00D57D3A">
        <w:t xml:space="preserve"> criteria</w:t>
      </w:r>
      <w:r>
        <w:t>:</w:t>
      </w:r>
    </w:p>
    <w:p w14:paraId="4BD02CBF" w14:textId="0E6094BF" w:rsidR="004926BC" w:rsidRDefault="00990EB2" w:rsidP="00990EB2">
      <w:pPr>
        <w:pStyle w:val="Lijstalinea"/>
        <w:numPr>
          <w:ilvl w:val="1"/>
          <w:numId w:val="1"/>
        </w:numPr>
        <w:jc w:val="both"/>
      </w:pPr>
      <w:r>
        <w:t>“</w:t>
      </w:r>
      <w:r w:rsidR="004926BC">
        <w:t>Proper</w:t>
      </w:r>
      <w:r>
        <w:t>”</w:t>
      </w:r>
      <w:r w:rsidR="004926BC">
        <w:t>:</w:t>
      </w:r>
    </w:p>
    <w:p w14:paraId="3C8E0CE2" w14:textId="683907B5" w:rsidR="004926BC" w:rsidRDefault="004926BC" w:rsidP="00990EB2">
      <w:pPr>
        <w:pStyle w:val="Lijstalinea"/>
        <w:numPr>
          <w:ilvl w:val="2"/>
          <w:numId w:val="1"/>
        </w:numPr>
        <w:jc w:val="both"/>
        <w:rPr>
          <w:lang w:val="en-US"/>
        </w:rPr>
      </w:pPr>
      <w:r w:rsidRPr="004926BC">
        <w:rPr>
          <w:lang w:val="en-US"/>
        </w:rPr>
        <w:t xml:space="preserve">Functional information (can still be </w:t>
      </w:r>
      <w:r>
        <w:rPr>
          <w:lang w:val="en-US"/>
        </w:rPr>
        <w:t>broad, such as ‘structural protein’, as there are different levels of specificity when it comes to function. Ideally, we would want super specific annotations, but that’s not very realistic in our case.)</w:t>
      </w:r>
    </w:p>
    <w:p w14:paraId="63BEFF95" w14:textId="1497B095" w:rsidR="00870A05" w:rsidRPr="004926BC" w:rsidRDefault="00870A05" w:rsidP="00990EB2">
      <w:pPr>
        <w:pStyle w:val="Lijstalinea"/>
        <w:numPr>
          <w:ilvl w:val="2"/>
          <w:numId w:val="1"/>
        </w:numPr>
        <w:jc w:val="both"/>
        <w:rPr>
          <w:lang w:val="en-US"/>
        </w:rPr>
      </w:pPr>
      <w:r>
        <w:rPr>
          <w:lang w:val="en-US"/>
        </w:rPr>
        <w:t>It is hard to make th</w:t>
      </w:r>
      <w:r w:rsidR="00D57D3A">
        <w:rPr>
          <w:lang w:val="en-US"/>
        </w:rPr>
        <w:t>e</w:t>
      </w:r>
      <w:r>
        <w:rPr>
          <w:lang w:val="en-US"/>
        </w:rPr>
        <w:t xml:space="preserve"> distinction</w:t>
      </w:r>
      <w:r w:rsidR="00D57D3A">
        <w:rPr>
          <w:lang w:val="en-US"/>
        </w:rPr>
        <w:t xml:space="preserve"> between proper and improper</w:t>
      </w:r>
      <w:r>
        <w:rPr>
          <w:lang w:val="en-US"/>
        </w:rPr>
        <w:t xml:space="preserve">, as a lot of the protein annotations are just the protein name abbreviations for eukaryotic proteins instead of the full function description. As such, it is hard to make sure when these are known functions (and I am bound to make mistakes in </w:t>
      </w:r>
      <w:r w:rsidR="00D57D3A">
        <w:rPr>
          <w:lang w:val="en-US"/>
        </w:rPr>
        <w:t xml:space="preserve">assessing </w:t>
      </w:r>
      <w:r>
        <w:rPr>
          <w:lang w:val="en-US"/>
        </w:rPr>
        <w:t xml:space="preserve">this), but they are much more often functionally characterized than for their viral counterparts (when we see phage X </w:t>
      </w:r>
      <w:proofErr w:type="spellStart"/>
      <w:r>
        <w:rPr>
          <w:lang w:val="en-US"/>
        </w:rPr>
        <w:t>Gp</w:t>
      </w:r>
      <w:proofErr w:type="spellEnd"/>
      <w:r>
        <w:rPr>
          <w:lang w:val="en-US"/>
        </w:rPr>
        <w:t xml:space="preserve"> Y, it is most often unannotated). I guess we could think about writing proper code to make this distinction, if we want to go there?</w:t>
      </w:r>
      <w:r w:rsidR="003579A4">
        <w:rPr>
          <w:lang w:val="en-US"/>
        </w:rPr>
        <w:t xml:space="preserve"> In an ideal world, I would prefer not to have these names</w:t>
      </w:r>
      <w:r w:rsidR="00D57D3A">
        <w:rPr>
          <w:lang w:val="en-US"/>
        </w:rPr>
        <w:t>, but always descriptions like “</w:t>
      </w:r>
      <w:r w:rsidR="00D57D3A" w:rsidRPr="00D57D3A">
        <w:rPr>
          <w:lang w:val="en-US"/>
        </w:rPr>
        <w:t>Sodium/hydrogen exchanger 3</w:t>
      </w:r>
      <w:r w:rsidR="00D57D3A">
        <w:rPr>
          <w:lang w:val="en-US"/>
        </w:rPr>
        <w:t>” instead of “</w:t>
      </w:r>
      <w:r w:rsidR="00D57D3A" w:rsidRPr="00D57D3A">
        <w:rPr>
          <w:lang w:val="en-US"/>
        </w:rPr>
        <w:t>Slc9a3</w:t>
      </w:r>
      <w:r w:rsidR="00D57D3A">
        <w:rPr>
          <w:lang w:val="en-US"/>
        </w:rPr>
        <w:t>”</w:t>
      </w:r>
      <w:r w:rsidR="003579A4">
        <w:rPr>
          <w:lang w:val="en-US"/>
        </w:rPr>
        <w:t xml:space="preserve">. </w:t>
      </w:r>
    </w:p>
    <w:p w14:paraId="38795B72" w14:textId="263BA9A2" w:rsidR="00DF2F7A" w:rsidRDefault="00D57D3A" w:rsidP="00990EB2">
      <w:pPr>
        <w:pStyle w:val="Lijstalinea"/>
        <w:numPr>
          <w:ilvl w:val="1"/>
          <w:numId w:val="1"/>
        </w:numPr>
        <w:jc w:val="both"/>
        <w:rPr>
          <w:lang w:val="en-US"/>
        </w:rPr>
      </w:pPr>
      <w:r>
        <w:rPr>
          <w:lang w:val="en-US"/>
        </w:rPr>
        <w:t>“</w:t>
      </w:r>
      <w:r w:rsidR="00DF2F7A" w:rsidRPr="00DF2F7A">
        <w:rPr>
          <w:lang w:val="en-US"/>
        </w:rPr>
        <w:t>Low informative</w:t>
      </w:r>
      <w:r>
        <w:rPr>
          <w:lang w:val="en-US"/>
        </w:rPr>
        <w:t>”</w:t>
      </w:r>
      <w:r w:rsidR="00DF2F7A" w:rsidRPr="00DF2F7A">
        <w:rPr>
          <w:lang w:val="en-US"/>
        </w:rPr>
        <w:t xml:space="preserve">: </w:t>
      </w:r>
    </w:p>
    <w:p w14:paraId="6582B5AB" w14:textId="3DFB4198" w:rsidR="00DF2F7A" w:rsidRDefault="00DF2F7A" w:rsidP="00990EB2">
      <w:pPr>
        <w:pStyle w:val="Lijstalinea"/>
        <w:numPr>
          <w:ilvl w:val="2"/>
          <w:numId w:val="1"/>
        </w:numPr>
        <w:jc w:val="both"/>
        <w:rPr>
          <w:lang w:val="en-US"/>
        </w:rPr>
      </w:pPr>
      <w:r>
        <w:rPr>
          <w:lang w:val="en-US"/>
        </w:rPr>
        <w:t>g</w:t>
      </w:r>
      <w:r w:rsidRPr="00DF2F7A">
        <w:rPr>
          <w:lang w:val="en-US"/>
        </w:rPr>
        <w:t>rouping</w:t>
      </w:r>
      <w:r>
        <w:rPr>
          <w:lang w:val="en-US"/>
        </w:rPr>
        <w:t xml:space="preserve"> information (international standards, such as DUF, </w:t>
      </w:r>
      <w:proofErr w:type="spellStart"/>
      <w:r>
        <w:rPr>
          <w:lang w:val="en-US"/>
        </w:rPr>
        <w:t>Pfam</w:t>
      </w:r>
      <w:proofErr w:type="spellEnd"/>
      <w:r>
        <w:rPr>
          <w:lang w:val="en-US"/>
        </w:rPr>
        <w:t>, TIGR)</w:t>
      </w:r>
      <w:r w:rsidRPr="00DF2F7A">
        <w:rPr>
          <w:lang w:val="en-US"/>
        </w:rPr>
        <w:t>, but no f</w:t>
      </w:r>
      <w:r>
        <w:rPr>
          <w:lang w:val="en-US"/>
        </w:rPr>
        <w:t>unctional information</w:t>
      </w:r>
      <w:r w:rsidR="004926BC">
        <w:rPr>
          <w:lang w:val="en-US"/>
        </w:rPr>
        <w:t xml:space="preserve"> (e.g. “DUF”)</w:t>
      </w:r>
    </w:p>
    <w:p w14:paraId="5B9A5747" w14:textId="37D7170B" w:rsidR="00DF2F7A" w:rsidRDefault="004926BC" w:rsidP="00990EB2">
      <w:pPr>
        <w:pStyle w:val="Lijstalinea"/>
        <w:numPr>
          <w:ilvl w:val="2"/>
          <w:numId w:val="1"/>
        </w:numPr>
        <w:jc w:val="both"/>
        <w:rPr>
          <w:lang w:val="en-US"/>
        </w:rPr>
      </w:pPr>
      <w:r>
        <w:rPr>
          <w:lang w:val="en-US"/>
        </w:rPr>
        <w:t xml:space="preserve">cellular </w:t>
      </w:r>
      <w:r w:rsidR="00DF2F7A">
        <w:rPr>
          <w:lang w:val="en-US"/>
        </w:rPr>
        <w:t>location information, but no functional information</w:t>
      </w:r>
      <w:r>
        <w:rPr>
          <w:lang w:val="en-US"/>
        </w:rPr>
        <w:t xml:space="preserve"> (e.g. “Membrane protein”)</w:t>
      </w:r>
    </w:p>
    <w:p w14:paraId="697733A1" w14:textId="037B2E47" w:rsidR="004926BC" w:rsidRDefault="004926BC" w:rsidP="00990EB2">
      <w:pPr>
        <w:pStyle w:val="Lijstalinea"/>
        <w:numPr>
          <w:ilvl w:val="2"/>
          <w:numId w:val="1"/>
        </w:numPr>
        <w:jc w:val="both"/>
        <w:rPr>
          <w:lang w:val="en-US"/>
        </w:rPr>
      </w:pPr>
      <w:r>
        <w:rPr>
          <w:lang w:val="en-US"/>
        </w:rPr>
        <w:t>structural information, but no functional information (e.g. “</w:t>
      </w:r>
      <w:r w:rsidRPr="004926BC">
        <w:rPr>
          <w:lang w:val="en-US"/>
        </w:rPr>
        <w:t>Parallel beta-helix repeat protein</w:t>
      </w:r>
      <w:r>
        <w:rPr>
          <w:lang w:val="en-US"/>
        </w:rPr>
        <w:t>”) – this is somewhat subjective, e.g. a zinc finger is also a structural fold, but it is associated with a specific function so that would not be considered low informative</w:t>
      </w:r>
    </w:p>
    <w:p w14:paraId="212F3EA4" w14:textId="3940FC7F" w:rsidR="00402DBB" w:rsidRDefault="00402DBB" w:rsidP="00990EB2">
      <w:pPr>
        <w:pStyle w:val="Lijstalinea"/>
        <w:numPr>
          <w:ilvl w:val="2"/>
          <w:numId w:val="1"/>
        </w:numPr>
        <w:jc w:val="both"/>
        <w:rPr>
          <w:lang w:val="en-US"/>
        </w:rPr>
      </w:pPr>
      <w:r>
        <w:rPr>
          <w:lang w:val="en-US"/>
        </w:rPr>
        <w:t>Chemical description, but no functional information e.g. “arginine-rich protein”, “</w:t>
      </w:r>
      <w:r w:rsidRPr="00402DBB">
        <w:rPr>
          <w:lang w:val="en-US"/>
        </w:rPr>
        <w:t>LINOCIN M18</w:t>
      </w:r>
      <w:r>
        <w:rPr>
          <w:lang w:val="en-US"/>
        </w:rPr>
        <w:t xml:space="preserve">” </w:t>
      </w:r>
    </w:p>
    <w:p w14:paraId="443BA025" w14:textId="3069977E" w:rsidR="00990EB2" w:rsidRDefault="00D57D3A" w:rsidP="00990EB2">
      <w:pPr>
        <w:pStyle w:val="Lijstalinea"/>
        <w:numPr>
          <w:ilvl w:val="1"/>
          <w:numId w:val="1"/>
        </w:numPr>
        <w:jc w:val="both"/>
        <w:rPr>
          <w:lang w:val="en-US"/>
        </w:rPr>
      </w:pPr>
      <w:r>
        <w:rPr>
          <w:lang w:val="en-US"/>
        </w:rPr>
        <w:t>“</w:t>
      </w:r>
      <w:r w:rsidR="00990EB2">
        <w:rPr>
          <w:lang w:val="en-US"/>
        </w:rPr>
        <w:t>Uninformative</w:t>
      </w:r>
      <w:r>
        <w:rPr>
          <w:lang w:val="en-US"/>
        </w:rPr>
        <w:t>”</w:t>
      </w:r>
      <w:r w:rsidR="00990EB2">
        <w:rPr>
          <w:lang w:val="en-US"/>
        </w:rPr>
        <w:t>:</w:t>
      </w:r>
    </w:p>
    <w:p w14:paraId="410950CB" w14:textId="73FD5440" w:rsidR="00FB7A58" w:rsidRPr="00D57D3A" w:rsidRDefault="00990EB2" w:rsidP="00D57D3A">
      <w:pPr>
        <w:pStyle w:val="Lijstalinea"/>
        <w:numPr>
          <w:ilvl w:val="2"/>
          <w:numId w:val="1"/>
        </w:numPr>
        <w:jc w:val="both"/>
        <w:rPr>
          <w:lang w:val="en-US"/>
        </w:rPr>
      </w:pPr>
      <w:r>
        <w:rPr>
          <w:lang w:val="en-US"/>
        </w:rPr>
        <w:t>No functional information at all</w:t>
      </w:r>
    </w:p>
    <w:sectPr w:rsidR="00FB7A58" w:rsidRPr="00D57D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03FBA"/>
    <w:multiLevelType w:val="hybridMultilevel"/>
    <w:tmpl w:val="67AA4096"/>
    <w:lvl w:ilvl="0" w:tplc="DB828E16">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0535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58"/>
    <w:rsid w:val="002C648F"/>
    <w:rsid w:val="003579A4"/>
    <w:rsid w:val="00402DBB"/>
    <w:rsid w:val="004926BC"/>
    <w:rsid w:val="00870A05"/>
    <w:rsid w:val="00990EB2"/>
    <w:rsid w:val="00CB395C"/>
    <w:rsid w:val="00D57D3A"/>
    <w:rsid w:val="00DF2F7A"/>
    <w:rsid w:val="00E34368"/>
    <w:rsid w:val="00F73EE0"/>
    <w:rsid w:val="00FB7A5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7DEF"/>
  <w15:chartTrackingRefBased/>
  <w15:docId w15:val="{D41D2F30-0A65-419A-A217-C8661177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B7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B7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B7A5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B7A5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B7A5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B7A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B7A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B7A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B7A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B7A5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B7A5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B7A5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B7A5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B7A5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B7A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B7A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B7A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B7A58"/>
    <w:rPr>
      <w:rFonts w:eastAsiaTheme="majorEastAsia" w:cstheme="majorBidi"/>
      <w:color w:val="272727" w:themeColor="text1" w:themeTint="D8"/>
    </w:rPr>
  </w:style>
  <w:style w:type="paragraph" w:styleId="Titel">
    <w:name w:val="Title"/>
    <w:basedOn w:val="Standaard"/>
    <w:next w:val="Standaard"/>
    <w:link w:val="TitelChar"/>
    <w:uiPriority w:val="10"/>
    <w:qFormat/>
    <w:rsid w:val="00FB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B7A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B7A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B7A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B7A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B7A58"/>
    <w:rPr>
      <w:i/>
      <w:iCs/>
      <w:color w:val="404040" w:themeColor="text1" w:themeTint="BF"/>
    </w:rPr>
  </w:style>
  <w:style w:type="paragraph" w:styleId="Lijstalinea">
    <w:name w:val="List Paragraph"/>
    <w:basedOn w:val="Standaard"/>
    <w:uiPriority w:val="34"/>
    <w:qFormat/>
    <w:rsid w:val="00FB7A58"/>
    <w:pPr>
      <w:ind w:left="720"/>
      <w:contextualSpacing/>
    </w:pPr>
  </w:style>
  <w:style w:type="character" w:styleId="Intensievebenadrukking">
    <w:name w:val="Intense Emphasis"/>
    <w:basedOn w:val="Standaardalinea-lettertype"/>
    <w:uiPriority w:val="21"/>
    <w:qFormat/>
    <w:rsid w:val="00FB7A58"/>
    <w:rPr>
      <w:i/>
      <w:iCs/>
      <w:color w:val="0F4761" w:themeColor="accent1" w:themeShade="BF"/>
    </w:rPr>
  </w:style>
  <w:style w:type="paragraph" w:styleId="Duidelijkcitaat">
    <w:name w:val="Intense Quote"/>
    <w:basedOn w:val="Standaard"/>
    <w:next w:val="Standaard"/>
    <w:link w:val="DuidelijkcitaatChar"/>
    <w:uiPriority w:val="30"/>
    <w:qFormat/>
    <w:rsid w:val="00FB7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B7A58"/>
    <w:rPr>
      <w:i/>
      <w:iCs/>
      <w:color w:val="0F4761" w:themeColor="accent1" w:themeShade="BF"/>
    </w:rPr>
  </w:style>
  <w:style w:type="character" w:styleId="Intensieveverwijzing">
    <w:name w:val="Intense Reference"/>
    <w:basedOn w:val="Standaardalinea-lettertype"/>
    <w:uiPriority w:val="32"/>
    <w:qFormat/>
    <w:rsid w:val="00FB7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1371</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Hannelore Longin</dc:creator>
  <cp:keywords/>
  <dc:description/>
  <cp:lastModifiedBy>Hannelore Longin</cp:lastModifiedBy>
  <cp:revision>1</cp:revision>
  <dcterms:created xsi:type="dcterms:W3CDTF">2025-10-08T07:02:00Z</dcterms:created>
  <dcterms:modified xsi:type="dcterms:W3CDTF">2025-10-08T16:20:00Z</dcterms:modified>
</cp:coreProperties>
</file>