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59" w:lineRule="auto"/>
        <w:jc w:val="center"/>
      </w:pPr>
      <w:r>
        <w:rPr>
          <w:b/>
          <w:sz w:val="28"/>
        </w:rPr>
        <w:t xml:space="preserve">HELD FOR MODIFICATION</w:t>
      </w:r>
    </w:p>
    <w:p>
      <w:pPr>
        <w:spacing w:before="0" w:after="60" w:line="259" w:lineRule="auto"/>
      </w:pPr>
      <w:r>
        <w:t/>
      </w:r>
    </w:p>
    <w:p>
      <w:pPr>
        <w:spacing w:before="0" w:after="120" w:line="259" w:lineRule="auto"/>
        <w:jc w:val="center"/>
      </w:pPr>
      <w:r>
        <w:rPr>
          <w:b/>
          <w:sz w:val="28"/>
        </w:rPr>
        <w:t xml:space="preserve">Student / classroom-deployment stream — IRB #2</w:t>
      </w:r>
    </w:p>
    <w:p>
      <w:pPr>
        <w:spacing w:before="0" w:after="60" w:line="259" w:lineRule="auto"/>
      </w:pPr>
      <w:r>
        <w:t/>
      </w:r>
    </w:p>
    <w:p>
      <w:pPr>
        <w:spacing w:before="0" w:after="80" w:line="259" w:lineRule="auto"/>
      </w:pPr>
      <w:r>
        <w:t xml:space="preserve">Prepared 2026-07-28. </w:t>
      </w:r>
      <w:r>
        <w:rPr>
          <w:b/>
        </w:rPr>
        <w:t xml:space="preserve">Not part of the IRB #2 v4 submission.</w:t>
      </w:r>
    </w:p>
    <w:p>
      <w:pPr>
        <w:spacing w:before="0" w:after="60" w:line="259" w:lineRule="auto"/>
      </w:pPr>
      <w:r>
        <w:t/>
      </w:r>
    </w:p>
    <w:p>
      <w:pPr>
        <w:spacing w:before="0" w:after="80" w:line="259" w:lineRule="auto"/>
      </w:pPr>
      <w:r>
        <w:t xml:space="preserve">This document holds the classroom-deployment content that was in the v3 draft, revised and ready to submit as a modification to IRB #2 (or as a separate protocol) before any research activity involving students in a collaborating instructor's course begins.</w:t>
      </w:r>
    </w:p>
    <w:p>
      <w:pPr>
        <w:spacing w:before="0" w:after="60" w:line="259" w:lineRule="auto"/>
      </w:pPr>
      <w:r>
        <w:t/>
      </w:r>
    </w:p>
    <w:p>
      <w:pPr>
        <w:spacing w:before="0" w:after="80" w:line="259" w:lineRule="auto"/>
      </w:pPr>
      <w:r>
        <w:t xml:space="preserve">Why it is held: Cyril's comment on the working draft — *"Instructors might use reflection groups in their classes without participating, without having their course and their students participate in research on reflection groups. We will offer in the future to instructors an option to … invite their students to participate in research for the reflection groups, but we will submit a modification or a separate IRB before doing that."* The `irb-writing` skill gives the same guidance for this protocol: submit the design-workshop portion first, with explicit language that participation does not obligate instructors, and bring student-facing research through a modification.</w:t>
      </w:r>
    </w:p>
    <w:p>
      <w:pPr>
        <w:spacing w:before="0" w:after="60" w:line="259" w:lineRule="auto"/>
      </w:pPr>
      <w:r>
        <w:t/>
      </w:r>
    </w:p>
    <w:p>
      <w:pPr>
        <w:spacing w:before="0" w:after="80" w:line="259" w:lineRule="auto"/>
      </w:pPr>
      <w:r>
        <w:t xml:space="preserve">Grant coverage: this bundle covers activity-table rows T1-i, T1-j, T1-k, and the student side of T1-h. See `.claude/skills/irb-writing/references/irb-knowledge-base.md`.</w:t>
      </w:r>
    </w:p>
    <w:p>
      <w:pPr>
        <w:spacing w:before="0" w:after="60" w:line="259" w:lineRule="auto"/>
      </w:pPr>
      <w:r>
        <w:t/>
      </w:r>
    </w:p>
    <w:p>
      <w:pPr>
        <w:spacing w:before="0" w:after="80" w:line="259" w:lineRule="auto"/>
      </w:pPr>
      <w:r>
        <w:t xml:space="preserve">The fixes below have already been applied, so this does not need reworking before submission — only the open decisions resolved.</w:t>
      </w:r>
    </w:p>
    <w:p>
      <w:pPr>
        <w:spacing w:before="0" w:after="60" w:line="259" w:lineRule="auto"/>
      </w:pPr>
      <w:r>
        <w:t/>
      </w:r>
    </w:p>
    <w:p>
      <w:pPr>
        <w:spacing w:before="240" w:after="90" w:line="259" w:lineRule="auto"/>
      </w:pPr>
      <w:r>
        <w:rPr>
          <w:b/>
          <w:sz w:val="26"/>
        </w:rPr>
        <w:t xml:space="preserve">Sections to add back to the narrative</w:t>
      </w:r>
    </w:p>
    <w:p>
      <w:pPr>
        <w:spacing w:before="0" w:after="60" w:line="259" w:lineRule="auto"/>
      </w:pPr>
      <w:r>
        <w:t/>
      </w:r>
    </w:p>
    <w:p>
      <w:pPr>
        <w:spacing w:before="180" w:after="70" w:line="259" w:lineRule="auto"/>
      </w:pPr>
      <w:r>
        <w:rPr>
          <w:b/>
          <w:sz w:val="24"/>
        </w:rPr>
        <w:t xml:space="preserve">Section 2 — additional research question</w:t>
      </w:r>
    </w:p>
    <w:p>
      <w:pPr>
        <w:spacing w:before="0" w:after="60" w:line="259" w:lineRule="auto"/>
      </w:pPr>
      <w:r>
        <w:t/>
      </w:r>
    </w:p>
    <w:p>
      <w:pPr>
        <w:spacing w:before="0" w:after="80" w:line="259" w:lineRule="auto"/>
      </w:pPr>
      <w:r>
        <w:t xml:space="preserve">4. How do reflection groups and reflection on generative AI use affect students' outcomes in courses beyond the research team's own, including at other institutions?</w:t>
      </w:r>
    </w:p>
    <w:p>
      <w:pPr>
        <w:spacing w:before="0" w:after="60" w:line="259" w:lineRule="auto"/>
      </w:pPr>
      <w:r>
        <w:t/>
      </w:r>
    </w:p>
    <w:p>
      <w:pPr>
        <w:spacing w:before="0" w:after="80" w:line="259" w:lineRule="auto"/>
      </w:pPr>
      <w:r>
        <w:t xml:space="preserve">Add to the Section 2 definition of terms: For the purposes of this research, "student outcomes" refers to professional skills and dispositions (such as iterative improvement, lifelong learning, psychological safety, and communication), self-efficacy, professional identity, critical and reflective use of generative AI, and learning and career outcomes. The term "student outcomes" is used throughout rather than re-listing its contents.</w:t>
      </w:r>
    </w:p>
    <w:p>
      <w:pPr>
        <w:spacing w:before="0" w:after="60" w:line="259" w:lineRule="auto"/>
      </w:pPr>
      <w:r>
        <w:t/>
      </w:r>
    </w:p>
    <w:p>
      <w:pPr>
        <w:spacing w:before="180" w:after="70" w:line="259" w:lineRule="auto"/>
      </w:pPr>
      <w:r>
        <w:rPr>
          <w:b/>
          <w:sz w:val="24"/>
        </w:rPr>
        <w:t xml:space="preserve">Section 2 — additional methods items</w:t>
      </w:r>
    </w:p>
    <w:p>
      <w:pPr>
        <w:spacing w:before="0" w:after="60" w:line="259" w:lineRule="auto"/>
      </w:pPr>
      <w:r>
        <w:t/>
      </w:r>
    </w:p>
    <w:p>
      <w:pPr>
        <w:spacing w:before="0" w:after="80" w:line="259" w:lineRule="auto"/>
      </w:pPr>
      <w:r>
        <w:t xml:space="preserve">7. Deployment. Collaborating instructors integrate reflection groups into their courses as a planned part of the course, following the team's materials as adapted with the instructor: a matching survey (Appendix J); small groups, normally of 3–5 members, matched on shared gender, shared disability status, and overlapping availability, none of which is disclosed to other students; an icebreaker activity; regular short group meetings with a guided agenda; and brief individual written reflections (Appendix K). Topic modules may be used, including modules on critical generative AI use. The course activity occurs regardless of whether students consent to the research.</w:t>
      </w:r>
    </w:p>
    <w:p>
      <w:pPr>
        <w:spacing w:before="0" w:after="60" w:line="259" w:lineRule="auto"/>
      </w:pPr>
      <w:r>
        <w:t/>
      </w:r>
    </w:p>
    <w:p>
      <w:pPr>
        <w:spacing w:before="0" w:after="80" w:line="259" w:lineRule="auto"/>
      </w:pPr>
      <w:r>
        <w:t xml:space="preserve">8. Student consent. Before any student data are collected, students receive an electronic consent form (Appendix F) and a recruitment script is read in class by a member of the research team (Appendix G). Participation in the research has no effect on assignments, activities, or grades. The host instructor does not administer consent, does not see who consented, and will not know who participated in the research until after final grades are submitted. Students opt out by emailing a member of the research team, who is never the instructor of their course.</w:t>
      </w:r>
    </w:p>
    <w:p>
      <w:pPr>
        <w:spacing w:before="0" w:after="60" w:line="259" w:lineRule="auto"/>
      </w:pPr>
      <w:r>
        <w:t/>
      </w:r>
    </w:p>
    <w:p>
      <w:pPr>
        <w:spacing w:before="0" w:after="80" w:line="259" w:lineRule="auto"/>
      </w:pPr>
      <w:r>
        <w:t xml:space="preserve">9. Student surveys. Consenting students complete pre- and post-course surveys of approximately 10–15 minutes each with the study's student outcome measures (Appendix H), and are invited to longitudinal follow-up surveys roughly every 6 months after the course, for up to 4 years (up to 8 surveys total), with consent indicated by submission of each survey (Appendix I).</w:t>
      </w:r>
    </w:p>
    <w:p>
      <w:pPr>
        <w:spacing w:before="0" w:after="60" w:line="259" w:lineRule="auto"/>
      </w:pPr>
      <w:r>
        <w:t/>
      </w:r>
    </w:p>
    <w:p>
      <w:pPr>
        <w:spacing w:before="0" w:after="80" w:line="259" w:lineRule="auto"/>
      </w:pPr>
      <w:r>
        <w:t xml:space="preserve">10. Student data. With consent, students' reflection-group materials — agenda notes and individual written reflections, including responses to any topic modules — are analyzed by the research team. No grades, academic records, or other student-records data are collected.</w:t>
      </w:r>
    </w:p>
    <w:p>
      <w:pPr>
        <w:spacing w:before="0" w:after="60" w:line="259" w:lineRule="auto"/>
      </w:pPr>
      <w:r>
        <w:t/>
      </w:r>
    </w:p>
    <w:p>
      <w:pPr>
        <w:spacing w:before="0" w:after="80" w:line="259" w:lineRule="auto"/>
      </w:pPr>
      <w:r>
        <w:t xml:space="preserve">11. Group remedies. Groups do not always work well. A student in a group that has stopped functioning may join a different group, which opts in to adding a member, or form a new group with other students. Where this happens, the research team may also invite the affected students to help design a better response for future courses; notes from those conversations are analyzed qualitatively. Attendance at group meetings is not graded, so a student who does not find the group useful may simply stop attending without academic consequence.</w:t>
      </w:r>
    </w:p>
    <w:p>
      <w:pPr>
        <w:spacing w:before="0" w:after="60" w:line="259" w:lineRule="auto"/>
      </w:pPr>
      <w:r>
        <w:t/>
      </w:r>
    </w:p>
    <w:p>
      <w:pPr>
        <w:spacing w:before="0" w:after="80" w:line="259" w:lineRule="auto"/>
      </w:pPr>
      <w:r>
        <w:t xml:space="preserve">12. Student design input. Students in collaborating courses may be invited to a design session held during a class session, and to an end-of-semester retrospective in which they identify what they improved, how other members helped, and what should change about the design. Notes and materials from these are analyzed qualitatively. Students may also be invited to a brief optional mid-course feedback survey so the team can adjust the design during the semester.</w:t>
      </w:r>
    </w:p>
    <w:p>
      <w:pPr>
        <w:spacing w:before="0" w:after="60" w:line="259" w:lineRule="auto"/>
      </w:pPr>
      <w:r>
        <w:t/>
      </w:r>
    </w:p>
    <w:p>
      <w:pPr>
        <w:spacing w:before="0" w:after="80" w:line="259" w:lineRule="auto"/>
      </w:pPr>
      <w:r>
        <w:t xml:space="preserve">13. Student and alumni interviews. A purposeful subset of students and former students is invited to confidential interviews about their experiences, their professional-skill behaviors, changes over time, and — for those who have graduated — how these carry into work. Interviews take approximately 30–60 minutes, are conducted online or in person, and are audio-recorded; no video is recorded. Participants may be asked to describe specific instances and, if they wish, to show relevant work products; nothing is retained from a work product beyond the researcher's notes unless the participant separately agrees.</w:t>
      </w:r>
    </w:p>
    <w:p>
      <w:pPr>
        <w:spacing w:before="0" w:after="60" w:line="259" w:lineRule="auto"/>
      </w:pPr>
      <w:r>
        <w:t/>
      </w:r>
    </w:p>
    <w:p>
      <w:pPr>
        <w:spacing w:before="0" w:after="80" w:line="259" w:lineRule="auto"/>
      </w:pPr>
      <w:r>
        <w:t xml:space="preserve">14. Comparison courses. Where a collaborating instructor's institution — including the University of Maine — offers a similar course without reflection groups, students in that course may be recruited for surveys only, as a comparison group, and are also invited to the longitudinal follow-up surveys. Because no course activity is involved, consent is obtained through a consent statement at the beginning of each survey, with submission indicating consent, using the comparison-course adaptation in Appendix I.</w:t>
      </w:r>
    </w:p>
    <w:p>
      <w:pPr>
        <w:spacing w:before="0" w:after="60" w:line="259" w:lineRule="auto"/>
      </w:pPr>
      <w:r>
        <w:t/>
      </w:r>
    </w:p>
    <w:p>
      <w:pPr>
        <w:spacing w:before="0" w:after="80" w:line="259" w:lineRule="auto"/>
      </w:pPr>
      <w:r>
        <w:t xml:space="preserve">15. External sites. Before any activity in a course at another institution, the team obtains site approval — a letter of support from the appropriate official at that institution, requested per Appendix L — and completes whatever human-subjects review arrangement that institution requires, which may be a reliance agreement with the University of Maine, an exempt or not-research determination, or local review by that institution's IRB. Documentation of the arrangement is provided to the UMaine IRB before any research activity begins at that site.</w:t>
      </w:r>
    </w:p>
    <w:p>
      <w:pPr>
        <w:spacing w:before="0" w:after="60" w:line="259" w:lineRule="auto"/>
      </w:pPr>
      <w:r>
        <w:t/>
      </w:r>
    </w:p>
    <w:p>
      <w:pPr>
        <w:spacing w:before="0" w:after="80" w:line="259" w:lineRule="auto"/>
      </w:pPr>
      <w:r>
        <w:t xml:space="preserve">An instructor may withdraw their course from the study at any time. Data already collected from consenting students are retained per Section 6, but no new data are collected from that course.</w:t>
      </w:r>
    </w:p>
    <w:p>
      <w:pPr>
        <w:spacing w:before="0" w:after="60" w:line="259" w:lineRule="auto"/>
      </w:pPr>
      <w:r>
        <w:t/>
      </w:r>
    </w:p>
    <w:p>
      <w:pPr>
        <w:spacing w:before="0" w:after="80" w:line="259" w:lineRule="auto"/>
        <w:ind w:left="360" w:hanging="0"/>
      </w:pPr>
      <w:r>
        <w:rPr>
          <w:i/>
        </w:rPr>
        <w:t xml:space="preserve">{your input needed here — mid-semester withdrawal: if an instructor withdraws their course partway through a semester, does the course activity continue as a course activity (the team's position is that it should, since it is part of the course), and are students told? State the intended handling.}</w:t>
      </w:r>
    </w:p>
    <w:p>
      <w:pPr>
        <w:spacing w:before="0" w:after="60" w:line="259" w:lineRule="auto"/>
      </w:pPr>
      <w:r>
        <w:t/>
      </w:r>
    </w:p>
    <w:p>
      <w:pPr>
        <w:spacing w:before="180" w:after="70" w:line="259" w:lineRule="auto"/>
      </w:pPr>
      <w:r>
        <w:rPr>
          <w:b/>
          <w:sz w:val="24"/>
        </w:rPr>
        <w:t xml:space="preserve">Section 2 — additional data types</w:t>
      </w:r>
    </w:p>
    <w:p>
      <w:pPr>
        <w:spacing w:before="0" w:after="60" w:line="259" w:lineRule="auto"/>
      </w:pPr>
      <w:r>
        <w:t/>
      </w:r>
    </w:p>
    <w:p>
      <w:pPr>
        <w:spacing w:before="0" w:after="80" w:line="259" w:lineRule="auto"/>
      </w:pPr>
      <w:r>
        <w:t xml:space="preserve">1.5 Student matching-survey responses: availability, and optionally gender and disability status, and email address (Appendix J).</w:t>
      </w:r>
    </w:p>
    <w:p>
      <w:pPr>
        <w:spacing w:before="0" w:after="60" w:line="259" w:lineRule="auto"/>
      </w:pPr>
      <w:r>
        <w:t/>
      </w:r>
    </w:p>
    <w:p>
      <w:pPr>
        <w:spacing w:before="0" w:after="80" w:line="259" w:lineRule="auto"/>
      </w:pPr>
      <w:r>
        <w:t xml:space="preserve">1.6 Student reflection-group materials: agenda notes and individual written reflections, including responses to topic modules (Appendix K).</w:t>
      </w:r>
    </w:p>
    <w:p>
      <w:pPr>
        <w:spacing w:before="0" w:after="60" w:line="259" w:lineRule="auto"/>
      </w:pPr>
      <w:r>
        <w:t/>
      </w:r>
    </w:p>
    <w:p>
      <w:pPr>
        <w:spacing w:before="0" w:after="80" w:line="259" w:lineRule="auto"/>
      </w:pPr>
      <w:r>
        <w:t xml:space="preserve">1.7 Student pre- and post-course surveys: demographics, email address, and student outcome measures (Appendix H).</w:t>
      </w:r>
    </w:p>
    <w:p>
      <w:pPr>
        <w:spacing w:before="0" w:after="60" w:line="259" w:lineRule="auto"/>
      </w:pPr>
      <w:r>
        <w:t/>
      </w:r>
    </w:p>
    <w:p>
      <w:pPr>
        <w:spacing w:before="0" w:after="80" w:line="259" w:lineRule="auto"/>
      </w:pPr>
      <w:r>
        <w:t xml:space="preserve">1.8 Student longitudinal follow-up surveys: email address and student outcome measures (Appendix I).</w:t>
      </w:r>
    </w:p>
    <w:p>
      <w:pPr>
        <w:spacing w:before="0" w:after="60" w:line="259" w:lineRule="auto"/>
      </w:pPr>
      <w:r>
        <w:t/>
      </w:r>
    </w:p>
    <w:p>
      <w:pPr>
        <w:spacing w:before="0" w:after="80" w:line="259" w:lineRule="auto"/>
      </w:pPr>
      <w:r>
        <w:t xml:space="preserve">1.9 Student design-session and retrospective notes and materials, and mid-course feedback survey responses.</w:t>
      </w:r>
    </w:p>
    <w:p>
      <w:pPr>
        <w:spacing w:before="0" w:after="60" w:line="259" w:lineRule="auto"/>
      </w:pPr>
      <w:r>
        <w:t/>
      </w:r>
    </w:p>
    <w:p>
      <w:pPr>
        <w:spacing w:before="0" w:after="80" w:line="259" w:lineRule="auto"/>
      </w:pPr>
      <w:r>
        <w:t xml:space="preserve">1.10 Student and alumni interview recordings and transcripts, and researcher notes on work products described or shown.</w:t>
      </w:r>
    </w:p>
    <w:p>
      <w:pPr>
        <w:spacing w:before="0" w:after="60" w:line="259" w:lineRule="auto"/>
      </w:pPr>
      <w:r>
        <w:t/>
      </w:r>
    </w:p>
    <w:p>
      <w:pPr>
        <w:spacing w:before="180" w:after="70" w:line="259" w:lineRule="auto"/>
      </w:pPr>
      <w:r>
        <w:rPr>
          <w:b/>
          <w:sz w:val="24"/>
        </w:rPr>
        <w:t xml:space="preserve">Section 4 — additional population and recruitment</w:t>
      </w:r>
    </w:p>
    <w:p>
      <w:pPr>
        <w:spacing w:before="0" w:after="60" w:line="259" w:lineRule="auto"/>
      </w:pPr>
      <w:r>
        <w:t/>
      </w:r>
    </w:p>
    <w:p>
      <w:pPr>
        <w:spacing w:before="0" w:after="80" w:line="259" w:lineRule="auto"/>
      </w:pPr>
      <w:r>
        <w:t xml:space="preserve">Students: students in collaborating instructors' courses where reflection groups, reflection-on-AI-use activities, or comparison surveys are deployed, at the University of Maine and at other institutions; approximately 30–50 students per course.</w:t>
      </w:r>
    </w:p>
    <w:p>
      <w:pPr>
        <w:spacing w:before="0" w:after="60" w:line="259" w:lineRule="auto"/>
      </w:pPr>
      <w:r>
        <w:t/>
      </w:r>
    </w:p>
    <w:p>
      <w:pPr>
        <w:spacing w:before="0" w:after="80" w:line="259" w:lineRule="auto"/>
        <w:ind w:left="360" w:hanging="0"/>
      </w:pPr>
      <w:r>
        <w:rPr>
          <w:i/>
        </w:rPr>
        <w:t xml:space="preserve">{your input needed here — total expected student N over the protocol's duration. The approved course protocol states a total ("approximately 300–500 students over five years"); the board will expect the equivalent here.}</w:t>
      </w:r>
    </w:p>
    <w:p>
      <w:pPr>
        <w:spacing w:before="0" w:after="60" w:line="259" w:lineRule="auto"/>
      </w:pPr>
      <w:r>
        <w:t/>
      </w:r>
    </w:p>
    <w:p>
      <w:pPr>
        <w:spacing w:before="0" w:after="80" w:line="259" w:lineRule="auto"/>
        <w:ind w:left="360" w:hanging="0"/>
      </w:pPr>
      <w:r>
        <w:rPr>
          <w:i/>
        </w:rPr>
        <w:t xml:space="preserve">{your input needed here — Dufour conflict. The rule below excludes any course taught by a member of the research team, but the grant names Chris Dufour's 1-credit CS orientation seminar as a deployment site (grant §3.1.4), and Dufour is listed as research personnel in Section 3. As written, a named grant deployment site is excluded by this protocol's own rule. Resolve one of three ways: (a) his seminar runs under the team's approved course-based protocol, which already covers team-taught courses — simplest; (b) Dufour comes off this protocol's personnel list so his course can be a collaborating site; or (c) his course is enrolled here with the consent and blinding steps handled entirely by other team members. Option (a) is recommended, and needs one sentence here naming it.}</w:t>
      </w:r>
    </w:p>
    <w:p>
      <w:pPr>
        <w:spacing w:before="0" w:after="60" w:line="259" w:lineRule="auto"/>
      </w:pPr>
      <w:r>
        <w:t/>
      </w:r>
    </w:p>
    <w:p>
      <w:pPr>
        <w:spacing w:before="0" w:after="80" w:line="259" w:lineRule="auto"/>
      </w:pPr>
      <w:r>
        <w:t xml:space="preserve">Students are recruited within collaborating courses using the script in Appendix G, delivered so that consent is never administered by the host instructor: a member of the research team presents the study in person or by video announcement, distributes the consent form, and receives any opt-outs. The host instructor will not know which students participate until after final grades are submitted. If a member of the research team is also an instructor of a collaborating course, that course instead falls under the team's approved course-based protocol and is not enrolled under this one.</w:t>
      </w:r>
    </w:p>
    <w:p>
      <w:pPr>
        <w:spacing w:before="0" w:after="60" w:line="259" w:lineRule="auto"/>
      </w:pPr>
      <w:r>
        <w:t/>
      </w:r>
    </w:p>
    <w:p>
      <w:pPr>
        <w:spacing w:before="180" w:after="70" w:line="259" w:lineRule="auto"/>
      </w:pPr>
      <w:r>
        <w:rPr>
          <w:b/>
          <w:sz w:val="24"/>
        </w:rPr>
        <w:t xml:space="preserve">Section 6, 7, 9 — additions</w:t>
      </w:r>
    </w:p>
    <w:p>
      <w:pPr>
        <w:spacing w:before="0" w:after="60" w:line="259" w:lineRule="auto"/>
      </w:pPr>
      <w:r>
        <w:t/>
      </w:r>
    </w:p>
    <w:p>
      <w:pPr>
        <w:spacing w:before="0" w:after="80" w:line="259" w:lineRule="auto"/>
      </w:pPr>
      <w:r>
        <w:t xml:space="preserve">Section 6: No student grades, academic records, or other education-records data are collected under this protocol; classroom recordings are not made under this protocol.</w:t>
      </w:r>
    </w:p>
    <w:p>
      <w:pPr>
        <w:spacing w:before="0" w:after="60" w:line="259" w:lineRule="auto"/>
      </w:pPr>
      <w:r>
        <w:t/>
      </w:r>
    </w:p>
    <w:p>
      <w:pPr>
        <w:spacing w:before="0" w:after="80" w:line="259" w:lineRule="auto"/>
      </w:pPr>
      <w:r>
        <w:t xml:space="preserve">Section 6: If a student previously participated in related reflection-group research led by this research team and consented to the research use of their data in that study, the team may link that data with their data from this study to help understand their experience and outcomes over time. These related studies address the same research questions and use the same student outcome measures, and any linked data receive the same protections described in this section.</w:t>
      </w:r>
    </w:p>
    <w:p>
      <w:pPr>
        <w:spacing w:before="0" w:after="60" w:line="259" w:lineRule="auto"/>
      </w:pPr>
      <w:r>
        <w:t/>
      </w:r>
    </w:p>
    <w:p>
      <w:pPr>
        <w:spacing w:before="0" w:after="80" w:line="259" w:lineRule="auto"/>
      </w:pPr>
      <w:r>
        <w:t xml:space="preserve">Section 7: For students, because their instructor collaborates with the research team, there could be perceived pressure to participate. This is mitigated by the deployment protections in Section 4. Because reflection groups involve sharing among peers, personal information shared in a group could be disclosed by another member; students are asked to respect confidentiality and are informed that it cannot be guaranteed.</w:t>
      </w:r>
    </w:p>
    <w:p>
      <w:pPr>
        <w:spacing w:before="0" w:after="60" w:line="259" w:lineRule="auto"/>
      </w:pPr>
      <w:r>
        <w:t/>
      </w:r>
    </w:p>
    <w:p>
      <w:pPr>
        <w:spacing w:before="0" w:after="80" w:line="259" w:lineRule="auto"/>
      </w:pPr>
      <w:r>
        <w:t xml:space="preserve">Section 9: Host courses are encouraged to grant a small amount of course credit for completing the pre- and post-course surveys; where granted, credit is for submitting the survey, not for the content of answers, and the survey is available to every student in the course regardless of research participation. For each longitudinal follow-up survey a student submits, the student is offered a $10 electronic VISA gift card, sent by email within 48 hours of submission; students must reach the end of the survey to receive compensation, though they may skip individual questions. Pre- and post-course surveys are not compensated. Students who complete an interview are offered a $25 electronic VISA gift card, sent by email within 48 hours.</w:t>
      </w:r>
    </w:p>
    <w:p>
      <w:pPr>
        <w:spacing w:before="0" w:after="60" w:line="259" w:lineRule="auto"/>
      </w:pPr>
      <w:r>
        <w:t/>
      </w:r>
    </w:p>
    <w:p>
      <w:pPr>
        <w:spacing w:before="240" w:after="90" w:line="259" w:lineRule="auto"/>
      </w:pPr>
      <w:r>
        <w:rPr>
          <w:b/>
          <w:sz w:val="26"/>
        </w:rPr>
        <w:t xml:space="preserve">Appendix F: Student consent form (collaborating instructors' courses)</w:t>
      </w:r>
    </w:p>
    <w:p>
      <w:pPr>
        <w:spacing w:before="0" w:after="60" w:line="259" w:lineRule="auto"/>
      </w:pPr>
      <w:r>
        <w:t/>
      </w:r>
    </w:p>
    <w:p>
      <w:pPr>
        <w:spacing w:before="0" w:after="80" w:line="259" w:lineRule="auto"/>
      </w:pPr>
      <w:r>
        <w:t xml:space="preserve">Build on the approved course protocol's most recent consent form (Appendix P of the Jan-2026 modification), with these changes from the v3 draft already applied:</w:t>
      </w:r>
    </w:p>
    <w:p>
      <w:pPr>
        <w:spacing w:before="0" w:after="60" w:line="259" w:lineRule="auto"/>
      </w:pPr>
      <w:r>
        <w:t/>
      </w:r>
    </w:p>
    <w:p>
      <w:pPr>
        <w:spacing w:before="0" w:after="80" w:line="259" w:lineRule="auto"/>
        <w:ind w:left="720" w:hanging="360"/>
      </w:pPr>
      <w:r>
        <w:t xml:space="preserve">•	Add to "What Will You Be Asked to Do?": "Complete a short group-matching survey (about 5 minutes) so we can put you in a group with compatible scheduling. It asks your availability and, optionally, your gender and disability status. Have those responses analyzed by the research team." </w:t>
      </w:r>
      <w:r>
        <w:rPr>
          <w:b/>
        </w:rPr>
        <w:t xml:space="preserve">The v3 draft omitted the matching survey entirely, although it collects gender and disability status and lists them as research data.</w:t>
      </w:r>
    </w:p>
    <w:p>
      <w:pPr>
        <w:spacing w:before="0" w:after="80" w:line="259" w:lineRule="auto"/>
        <w:ind w:left="720" w:hanging="360"/>
      </w:pPr>
      <w:r>
        <w:t xml:space="preserve">•	Add to Confidentiality: "Your gender and disability status are never shown to other students, to your instructor, or to teaching assistants. They are used only to form groups and, if you consent, for research."</w:t>
      </w:r>
    </w:p>
    <w:p>
      <w:pPr>
        <w:spacing w:before="0" w:after="80" w:line="259" w:lineRule="auto"/>
        <w:ind w:left="720" w:hanging="360"/>
      </w:pPr>
      <w:r>
        <w:t xml:space="preserve">•	Add a </w:t>
      </w:r>
      <w:r>
        <w:rPr>
          <w:b/>
        </w:rPr>
        <w:t xml:space="preserve">Compensation</w:t>
      </w:r>
      <w:r>
        <w:t xml:space="preserve"> section (v3 buried the $10 offer in a bullet): the $10 per longitudinal survey, the requirement to reach the end of the survey, that pre- and post-course surveys are not compensated, and the $25 interview card.</w:t>
      </w:r>
    </w:p>
    <w:p>
      <w:pPr>
        <w:spacing w:before="0" w:after="80" w:line="259" w:lineRule="auto"/>
        <w:ind w:left="720" w:hanging="360"/>
      </w:pPr>
      <w:r>
        <w:t xml:space="preserve">•	Add the optional data-linkage bullet and Confidentiality paragraph from the approved data-linkage modification, and add to Voluntary: "This includes revoking consent for linking your data with prior related studies."</w:t>
      </w:r>
    </w:p>
    <w:p>
      <w:pPr>
        <w:spacing w:before="0" w:after="80" w:line="259" w:lineRule="auto"/>
        <w:ind w:left="720" w:hanging="360"/>
      </w:pPr>
      <w:r>
        <w:t xml:space="preserve">•	Add: "The total time commitment is approximately 10–15 minutes for each survey. Beyond that, you will just participate in the class as usual."</w:t>
      </w:r>
    </w:p>
    <w:p>
      <w:pPr>
        <w:spacing w:before="0" w:after="80" w:line="259" w:lineRule="auto"/>
        <w:ind w:left="720" w:hanging="360"/>
      </w:pPr>
      <w:r>
        <w:t xml:space="preserve">•	Add the recording-deletion sentence for interview recordings.</w:t>
      </w:r>
    </w:p>
    <w:p>
      <w:pPr>
        <w:spacing w:before="0" w:after="80" w:line="259" w:lineRule="auto"/>
        <w:ind w:left="720" w:hanging="360"/>
      </w:pPr>
      <w:r>
        <w:t xml:space="preserve">•	Add the affirmation block: "Your choice below indicates that you have read the above information and agree to participate. You will receive a copy of this form." / ☐ I consent to being part of this study / Email.</w:t>
      </w:r>
    </w:p>
    <w:p>
      <w:pPr>
        <w:spacing w:before="0" w:after="80" w:line="259" w:lineRule="auto"/>
        <w:ind w:left="720" w:hanging="360"/>
      </w:pPr>
      <w:r>
        <w:t xml:space="preserve">•	Keep verbatim: the approved retention chain with its worked example, the "reflection groups are a planned part of your course and will occur regardless" sentence, and the "your instructor will not know who participated until after final grades are submitted" sentence.</w:t>
      </w:r>
    </w:p>
    <w:p>
      <w:pPr>
        <w:spacing w:before="0" w:after="60" w:line="259" w:lineRule="auto"/>
      </w:pPr>
      <w:r>
        <w:t/>
      </w:r>
    </w:p>
    <w:p>
      <w:pPr>
        <w:spacing w:before="240" w:after="90" w:line="259" w:lineRule="auto"/>
      </w:pPr>
      <w:r>
        <w:rPr>
          <w:b/>
          <w:sz w:val="26"/>
        </w:rPr>
        <w:t xml:space="preserve">Appendix G: Student recruitment script</w:t>
      </w:r>
    </w:p>
    <w:p>
      <w:pPr>
        <w:spacing w:before="0" w:after="60" w:line="259" w:lineRule="auto"/>
      </w:pPr>
      <w:r>
        <w:t/>
      </w:r>
    </w:p>
    <w:p>
      <w:pPr>
        <w:spacing w:before="0" w:after="80" w:line="259" w:lineRule="auto"/>
      </w:pPr>
      <w:r>
        <w:t xml:space="preserve">Two versions, as in v3 — one for courses with reflection groups, one for comparison courses (surveys only). Read by a member of the research team, never the host instructor. Keep v3's text, which follows the approved script.</w:t>
      </w:r>
    </w:p>
    <w:p>
      <w:pPr>
        <w:spacing w:before="0" w:after="60" w:line="259" w:lineRule="auto"/>
      </w:pPr>
      <w:r>
        <w:t/>
      </w:r>
    </w:p>
    <w:p>
      <w:pPr>
        <w:spacing w:before="240" w:after="90" w:line="259" w:lineRule="auto"/>
      </w:pPr>
      <w:r>
        <w:rPr>
          <w:b/>
          <w:sz w:val="26"/>
        </w:rPr>
        <w:t xml:space="preserve">Appendix H: Student pre- and post-course surveys</w:t>
      </w:r>
    </w:p>
    <w:p>
      <w:pPr>
        <w:spacing w:before="0" w:after="60" w:line="259" w:lineRule="auto"/>
      </w:pPr>
      <w:r>
        <w:t/>
      </w:r>
    </w:p>
    <w:p>
      <w:pPr>
        <w:spacing w:before="0" w:after="80" w:line="259" w:lineRule="auto"/>
      </w:pPr>
      <w:r>
        <w:t xml:space="preserve">Keep the v3 instrument set </w:t>
      </w:r>
      <w:r>
        <w:rPr>
          <w:b/>
        </w:rPr>
        <w:t xml:space="preserve">verbatim</w:t>
      </w:r>
      <w:r>
        <w:t xml:space="preserve"> — the board reviews item wording, and these are the instruments already accepted under the approved course protocol: demographics, self-efficacy, the Self-Reflection and Insight Scale (Grant, Franklin, &amp; Langford, 2002), the lifelong learning / self-directed learning skills scale, psychological safety (Edmondson, 1999), and the single-item STEM professional identity measure. Add:</w:t>
      </w:r>
    </w:p>
    <w:p>
      <w:pPr>
        <w:spacing w:before="0" w:after="60" w:line="259" w:lineRule="auto"/>
      </w:pPr>
      <w:r>
        <w:t/>
      </w:r>
    </w:p>
    <w:p>
      <w:pPr>
        <w:spacing w:before="0" w:after="80" w:line="259" w:lineRule="auto"/>
        <w:ind w:left="720" w:hanging="360"/>
      </w:pPr>
      <w:r>
        <w:t xml:space="preserve">•	</w:t>
      </w:r>
      <w:r>
        <w:rPr>
          <w:b/>
        </w:rPr>
        <w:t xml:space="preserve">The career-event items from the approved protocol's Appendices K and L</w:t>
      </w:r>
      <w:r>
        <w:t xml:space="preserve"> ("been invited to a screening/shorter phone, video, or other interview," "been invited to a full job interview," "done a job interview"), plus degree progress. Required by grant §3.1.5 and already board-approved; the v3 draft dropped them.</w:t>
      </w:r>
    </w:p>
    <w:p>
      <w:pPr>
        <w:spacing w:before="0" w:after="80" w:line="259" w:lineRule="auto"/>
        <w:ind w:left="720" w:hanging="360"/>
      </w:pPr>
      <w:r>
        <w:t xml:space="preserve">•	</w:t>
      </w:r>
      <w:r>
        <w:rPr>
          <w:b/>
        </w:rPr>
        <w:t xml:space="preserve">Measures for critical and reflective generative AI use</w:t>
      </w:r>
      <w:r>
        <w:t xml:space="preserve">, per grant §3.2.4: the ChatGPT Literacy scale (Lee &amp; Park, 2024) and the PI's short four-question critical and ethical generative AI use self-efficacy measure. `{your input needed here — supply the four self-efficacy items, and confirm whether the ChatGPT Literacy scale is used in full or in part.}`</w:t>
      </w:r>
    </w:p>
    <w:p>
      <w:pPr>
        <w:spacing w:before="0" w:after="80" w:line="259" w:lineRule="auto"/>
        <w:ind w:left="720" w:hanging="360"/>
      </w:pPr>
      <w:r>
        <w:t xml:space="preserve">•	A note permitting measure iteration, per grant §3.1.5 ("In Year 1 we will pilot on the pre and post course surveys a wider variety of measures"): measures may be added, replaced, or removed within the same student-outcome constructs across design iterations; substantive additions are submitted as a modification.</w:t>
      </w:r>
    </w:p>
    <w:p>
      <w:pPr>
        <w:spacing w:before="0" w:after="60" w:line="259" w:lineRule="auto"/>
      </w:pPr>
      <w:r>
        <w:t/>
      </w:r>
    </w:p>
    <w:p>
      <w:pPr>
        <w:spacing w:before="0" w:after="80" w:line="259" w:lineRule="auto"/>
        <w:ind w:left="360" w:hanging="0"/>
      </w:pPr>
      <w:r>
        <w:rPr>
          <w:i/>
        </w:rPr>
        <w:t xml:space="preserve">{your input needed here — whether to include the wider Year-1 measure set from the approved protocol's Spring-2026 appendices (Short Big Five, Brief Resilience Scale, CD-RISC-2, Personal Growth and Development Scale).}</w:t>
      </w:r>
    </w:p>
    <w:p>
      <w:pPr>
        <w:spacing w:before="0" w:after="60" w:line="259" w:lineRule="auto"/>
      </w:pPr>
      <w:r>
        <w:t/>
      </w:r>
    </w:p>
    <w:p>
      <w:pPr>
        <w:spacing w:before="240" w:after="90" w:line="259" w:lineRule="auto"/>
      </w:pPr>
      <w:r>
        <w:rPr>
          <w:b/>
          <w:sz w:val="26"/>
        </w:rPr>
        <w:t xml:space="preserve">Appendix I: Student longitudinal follow-up survey and consent</w:t>
      </w:r>
    </w:p>
    <w:p>
      <w:pPr>
        <w:spacing w:before="0" w:after="60" w:line="259" w:lineRule="auto"/>
      </w:pPr>
      <w:r>
        <w:t/>
      </w:r>
    </w:p>
    <w:p>
      <w:pPr>
        <w:spacing w:before="0" w:after="80" w:line="259" w:lineRule="auto"/>
      </w:pPr>
      <w:r>
        <w:t xml:space="preserve">Rebuild to the full consent skeleton — headings on their own lines, not the inline "Risks: …" style the v3 draft used. Keep the comparison-course adaptation note. Schedule: roughly every six months for four years, up to 8 surveys total.</w:t>
      </w:r>
    </w:p>
    <w:p>
      <w:pPr>
        <w:spacing w:before="0" w:after="60" w:line="259" w:lineRule="auto"/>
      </w:pPr>
      <w:r>
        <w:t/>
      </w:r>
    </w:p>
    <w:p>
      <w:pPr>
        <w:spacing w:before="180" w:after="70" w:line="259" w:lineRule="auto"/>
      </w:pPr>
      <w:r>
        <w:rPr>
          <w:b/>
          <w:sz w:val="24"/>
        </w:rPr>
        <w:t xml:space="preserve">Section 6 — matching tool as a processing location</w:t>
      </w:r>
    </w:p>
    <w:p>
      <w:pPr>
        <w:spacing w:before="0" w:after="60" w:line="259" w:lineRule="auto"/>
      </w:pPr>
      <w:r>
        <w:t/>
      </w:r>
    </w:p>
    <w:p>
      <w:pPr>
        <w:spacing w:before="0" w:after="80" w:line="259" w:lineRule="auto"/>
      </w:pPr>
      <w:r>
        <w:t xml:space="preserve">If group matching is performed by a team-built or third-party scheduling or constraint-solving tool rather than by hand, that tool is a processing location for availability, gender, and disability data and must be described. State it as a property rather than a product: matching may be performed manually or with a scheduling and constraint-solving tool operated under the same access controls and encryption described in this section, and no matching data leave university-approved, access-controlled systems.</w:t>
      </w:r>
    </w:p>
    <w:p>
      <w:pPr>
        <w:spacing w:before="0" w:after="60" w:line="259" w:lineRule="auto"/>
      </w:pPr>
      <w:r>
        <w:t/>
      </w:r>
    </w:p>
    <w:p>
      <w:pPr>
        <w:spacing w:before="0" w:after="80" w:line="259" w:lineRule="auto"/>
        <w:ind w:left="360" w:hanging="0"/>
      </w:pPr>
      <w:r>
        <w:rPr>
          <w:i/>
        </w:rPr>
        <w:t xml:space="preserve">{your input needed here — will matching be manual, or run through the tool being built under Task 3 of the grant? If the tool is hosted anywhere other than university-approved systems, or built on a third-party scheduling component, that has to be named as a processing location here.}</w:t>
      </w:r>
    </w:p>
    <w:p>
      <w:pPr>
        <w:spacing w:before="0" w:after="60" w:line="259" w:lineRule="auto"/>
      </w:pPr>
      <w:r>
        <w:t/>
      </w:r>
    </w:p>
    <w:p>
      <w:pPr>
        <w:spacing w:before="240" w:after="90" w:line="259" w:lineRule="auto"/>
      </w:pPr>
      <w:r>
        <w:rPr>
          <w:b/>
          <w:sz w:val="26"/>
        </w:rPr>
        <w:t xml:space="preserve">Appendix J: Student matching survey</w:t>
      </w:r>
    </w:p>
    <w:p>
      <w:pPr>
        <w:spacing w:before="0" w:after="60" w:line="259" w:lineRule="auto"/>
      </w:pPr>
      <w:r>
        <w:t/>
      </w:r>
    </w:p>
    <w:p>
      <w:pPr>
        <w:spacing w:before="0" w:after="80" w:line="259" w:lineRule="auto"/>
      </w:pPr>
      <w:r>
        <w:t xml:space="preserve">Keep v3's items — availability, gender, disability status. Add at the top: "Your answers are confidential. Availability is used to schedule your group. Gender and disability status are optional, are used only to form groups, and are never shown to other students, your instructor, or teaching assistants. They are used for research only if you consented on the study consent form."</w:t>
      </w:r>
    </w:p>
    <w:p>
      <w:pPr>
        <w:spacing w:before="0" w:after="60" w:line="259" w:lineRule="auto"/>
      </w:pPr>
      <w:r>
        <w:t/>
      </w:r>
    </w:p>
    <w:p>
      <w:pPr>
        <w:spacing w:before="240" w:after="90" w:line="259" w:lineRule="auto"/>
      </w:pPr>
      <w:r>
        <w:rPr>
          <w:b/>
          <w:sz w:val="26"/>
        </w:rPr>
        <w:t xml:space="preserve">Appendix K: Reflection group meeting agendas</w:t>
      </w:r>
    </w:p>
    <w:p>
      <w:pPr>
        <w:spacing w:before="0" w:after="60" w:line="259" w:lineRule="auto"/>
      </w:pPr>
      <w:r>
        <w:t/>
      </w:r>
    </w:p>
    <w:p>
      <w:pPr>
        <w:spacing w:before="0" w:after="80" w:line="259" w:lineRule="auto"/>
      </w:pPr>
      <w:r>
        <w:t xml:space="preserve">Generalize per the board's stated preference for adaptable descriptions over fixed agendas:</w:t>
      </w:r>
    </w:p>
    <w:p>
      <w:pPr>
        <w:spacing w:before="0" w:after="60" w:line="259" w:lineRule="auto"/>
      </w:pPr>
      <w:r>
        <w:t/>
      </w:r>
    </w:p>
    <w:p>
      <w:pPr>
        <w:spacing w:before="0" w:after="80" w:line="259" w:lineRule="auto"/>
        <w:ind w:left="720" w:hanging="360"/>
      </w:pPr>
      <w:r>
        <w:t xml:space="preserve">•	Keep the approved description of what a meeting is: members share progress and challenges; affirm challenges, encourage one another, and celebrate accomplishments; and generate ideas for improvement. Keep the guided questions as the starting point provided to groups.</w:t>
      </w:r>
    </w:p>
    <w:p>
      <w:pPr>
        <w:spacing w:before="0" w:after="80" w:line="259" w:lineRule="auto"/>
        <w:ind w:left="720" w:hanging="360"/>
      </w:pPr>
      <w:r>
        <w:t xml:space="preserve">•	Keep the icebreaker description in short form: an interpersonal-closeness activity adapted from an experimental-psychology activity (Aron et al., 1997), with questions that might evoke trauma removed and question durations shortened for the group setting; members are told they may pass on any question. `{your input needed here — attach the team's full adapted icebreaker question list.}`</w:t>
      </w:r>
    </w:p>
    <w:p>
      <w:pPr>
        <w:spacing w:before="0" w:after="80" w:line="259" w:lineRule="auto"/>
        <w:ind w:left="720" w:hanging="360"/>
      </w:pPr>
      <w:r>
        <w:t xml:space="preserve">•	</w:t>
      </w:r>
      <w:r>
        <w:rPr>
          <w:b/>
        </w:rPr>
        <w:t xml:space="preserve">Add:</w:t>
      </w:r>
      <w:r>
        <w:t xml:space="preserve"> "Once a group has started meeting, its members decide how to use their time. The guided questions are a starting point, and groups may change or add to them."</w:t>
      </w:r>
    </w:p>
    <w:p>
      <w:pPr>
        <w:spacing w:before="0" w:after="80" w:line="259" w:lineRule="auto"/>
        <w:ind w:left="720" w:hanging="360"/>
      </w:pPr>
      <w:r>
        <w:t xml:space="preserve">•	</w:t>
      </w:r>
      <w:r>
        <w:rPr>
          <w:b/>
        </w:rPr>
        <w:t xml:space="preserve">Remove the v3 sentence</w:t>
      </w:r>
      <w:r>
        <w:t xml:space="preserve"> "only responses to the five core questions are collected and analyzed under this protocol." It excluded topic-module responses, including the grant's two to three modules on critical generative AI use (grant §3.1.4), from the research.</w:t>
      </w:r>
    </w:p>
    <w:p>
      <w:pPr>
        <w:spacing w:before="0" w:after="80" w:line="259" w:lineRule="auto"/>
        <w:ind w:left="720" w:hanging="360"/>
      </w:pPr>
      <w:r>
        <w:t xml:space="preserve">•	Replace fixed cadence and duration with semester-aligned language rather than a fixed number of weeks.</w:t>
      </w:r>
    </w:p>
    <w:p>
      <w:pPr>
        <w:spacing w:before="0" w:after="80" w:line="259" w:lineRule="auto"/>
        <w:ind w:left="720" w:hanging="360"/>
      </w:pPr>
      <w:r>
        <w:t xml:space="preserve">•	</w:t>
      </w:r>
      <w:r>
        <w:rPr>
          <w:b/>
        </w:rPr>
        <w:t xml:space="preserve">Change</w:t>
      </w:r>
      <w:r>
        <w:t xml:space="preserve"> the v3 sentence "Course-specific adaptations … are documented per course and </w:t>
      </w:r>
      <w:r>
        <w:rPr>
          <w:b/>
        </w:rPr>
        <w:t xml:space="preserve">provided to the IRB</w:t>
      </w:r>
      <w:r>
        <w:t xml:space="preserve"> with the corresponding site materials" to "… are documented in the study file and available on request." As written, every co-designed tweak in every course creates an IRB filing obligation.</w:t>
      </w:r>
    </w:p>
    <w:p>
      <w:pPr>
        <w:spacing w:before="0" w:after="60" w:line="259" w:lineRule="auto"/>
      </w:pPr>
      <w:r>
        <w:t/>
      </w:r>
    </w:p>
    <w:p>
      <w:pPr>
        <w:spacing w:before="240" w:after="90" w:line="259" w:lineRule="auto"/>
      </w:pPr>
      <w:r>
        <w:rPr>
          <w:b/>
          <w:sz w:val="26"/>
        </w:rPr>
        <w:t xml:space="preserve">Appendix L: Site approval / letter of support request</w:t>
      </w:r>
    </w:p>
    <w:p>
      <w:pPr>
        <w:spacing w:before="0" w:after="60" w:line="259" w:lineRule="auto"/>
      </w:pPr>
      <w:r>
        <w:t/>
      </w:r>
    </w:p>
    <w:p>
      <w:pPr>
        <w:spacing w:before="0" w:after="80" w:line="259" w:lineRule="auto"/>
      </w:pPr>
      <w:r>
        <w:t xml:space="preserve">Keep v3's template, changing the closing commitment from "will gladly complete any human-subjects review arrangement your institution requires" plus a promise of local IRB review, to a statement that the team will complete whichever arrangement the institution requires — a reliance agreement, an exempt or not-research determination, or local review. Committing to full local review at every site is slower than the grant requires and more than it promises.</w:t>
      </w:r>
    </w:p>
    <w:p>
      <w:pPr>
        <w:spacing w:before="0" w:after="60" w:line="259" w:lineRule="auto"/>
      </w:pPr>
      <w:r>
        <w:t/>
      </w:r>
    </w:p>
    <w:p>
      <w:pPr>
        <w:spacing w:before="240" w:after="90" w:line="259" w:lineRule="auto"/>
      </w:pPr>
      <w:r>
        <w:rPr>
          <w:b/>
          <w:sz w:val="26"/>
        </w:rPr>
        <w:t xml:space="preserve">Additional references needed when this bundle is merged</w:t>
      </w:r>
    </w:p>
    <w:p>
      <w:pPr>
        <w:spacing w:before="0" w:after="60" w:line="259" w:lineRule="auto"/>
      </w:pPr>
      <w:r>
        <w:t/>
      </w:r>
    </w:p>
    <w:p>
      <w:pPr>
        <w:spacing w:before="0" w:after="80" w:line="259" w:lineRule="auto"/>
      </w:pPr>
      <w:r>
        <w:t xml:space="preserve">Aron, A., Melinat, E., Aron, E. N., Vallone, R. D., &amp; Bator, R. J. (1997); Edmondson, A. (1999); Grant, A. M., Franklin, J., &amp; Langford, P. (2002); Kember, D., et al. (2000) — for the reflection-level rubric analysis required by grant §3.1.5; Lee, S., &amp; Park, G. (2024) — ChatGPT Literacy Scale.</w:t>
      </w:r>
    </w:p>
    <w:p>
      <w:pPr>
        <w:spacing w:before="0" w:after="60" w:line="259" w:lineRule="auto"/>
      </w:pPr>
      <w:r>
        <w:t/>
      </w:r>
    </w:p>
    <w:p>
      <w:pPr>
        <w:spacing w:before="0" w:after="80" w:line="259" w:lineRule="auto"/>
      </w:pPr>
      <w:r>
        <w:t xml:space="preserve">Also add to the narrative, per grant §3.1.5: a sentence stating that student written reflections are analyzed with a reflection-level rubric (Kember et al., 2000) and a reflection rubric from medical education, alongside qualitative thematic analysis. The v3 draft collected reflections without stating how they are analyzed.</w:t>
      </w:r>
    </w:p>
    <w:p>
      <w:pPr>
        <w:spacing w:before="0" w:after="60" w:line="259" w:lineRule="auto"/>
      </w:pPr>
      <w:r>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