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project-name"/>
    <w:p>
      <w:pPr>
        <w:pStyle w:val="Heading3"/>
      </w:pPr>
      <w:r>
        <w:t xml:space="preserve">Project name</w:t>
      </w:r>
    </w:p>
    <w:p>
      <w:pPr>
        <w:pStyle w:val="FirstParagraph"/>
      </w:pPr>
      <w:r>
        <w:rPr>
          <w:b/>
          <w:bCs/>
        </w:rPr>
        <w:t xml:space="preserve">Nku</w:t>
      </w:r>
      <w:r>
        <w:t xml:space="preserve"> </w:t>
      </w:r>
      <w:r>
        <w:t xml:space="preserve">— Offline Medical AI for Pan-African Triage</w:t>
      </w:r>
    </w:p>
    <w:bookmarkEnd w:id="18"/>
    <w:bookmarkStart w:id="19" w:name="your-team"/>
    <w:p>
      <w:pPr>
        <w:pStyle w:val="Heading3"/>
      </w:pPr>
      <w:r>
        <w:t xml:space="preserve">Your team</w:t>
      </w:r>
    </w:p>
    <w:p>
      <w:pPr>
        <w:pStyle w:val="FirstParagraph"/>
      </w:pPr>
      <w:r>
        <w:rPr>
          <w:b/>
          <w:bCs/>
        </w:rPr>
        <w:t xml:space="preserve">W. Elorm Yevudza Jnr, MD/MS</w:t>
      </w:r>
      <w:r>
        <w:t xml:space="preserve"> </w:t>
      </w:r>
      <w:r>
        <w:t xml:space="preserve">— Solo developer. Born and raised in Ghana. Incoming surgery resident, NewYork-Presbyterian Queens. MD/MS Columbia VP&amp;S (2025); BA Neuroscience, Amherst College (2019). Maintains clinical connections with health professionals across Ghana for pilot coordination and field validation.</w:t>
      </w:r>
    </w:p>
    <w:bookmarkEnd w:id="19"/>
    <w:bookmarkStart w:id="20" w:name="problem-statement"/>
    <w:p>
      <w:pPr>
        <w:pStyle w:val="Heading3"/>
      </w:pPr>
      <w:r>
        <w:t xml:space="preserve">Problem statement</w:t>
      </w:r>
    </w:p>
    <w:p>
      <w:pPr>
        <w:pStyle w:val="FirstParagraph"/>
      </w:pPr>
      <w:r>
        <w:t xml:space="preserve">In Sub-Saharan Africa, fewer than 2.3 physicians serve every 10,000 people — far below the WHO’s recommended 44.5 health workers [1,2]. Over</w:t>
      </w:r>
      <w:r>
        <w:t xml:space="preserve"> </w:t>
      </w:r>
      <w:r>
        <w:rPr>
          <w:b/>
          <w:bCs/>
        </w:rPr>
        <w:t xml:space="preserve">450 million people</w:t>
      </w:r>
      <w:r>
        <w:t xml:space="preserve"> </w:t>
      </w:r>
      <w:r>
        <w:t xml:space="preserve">lack accessible primary care [3]. Community Health Workers (CHWs), the frontline of care, frequently lack reliable diagnostic tools due to equipment deficiencies and supply stock-outs [4] — yet nearly all carry smartphones [5].</w:t>
      </w:r>
    </w:p>
    <w:p>
      <w:pPr>
        <w:pStyle w:val="BodyText"/>
      </w:pPr>
      <w:r>
        <w:t xml:space="preserve">Powerful clinical AI models exist, but require reliable cloud connectivity. In rural Sub-Saharan Africa, 25% of rural Africans lack mobile broadband entirely (ITU 2024) [6].</w:t>
      </w:r>
      <w:r>
        <w:t xml:space="preserve"> </w:t>
      </w:r>
      <w:r>
        <w:rPr>
          <w:b/>
          <w:bCs/>
        </w:rPr>
        <w:t xml:space="preserve">Cloud-based AI is impractical where it is needed most.</w:t>
      </w:r>
    </w:p>
    <w:p>
      <w:pPr>
        <w:pStyle w:val="BodyText"/>
      </w:pPr>
      <w:r>
        <w:rPr>
          <w:b/>
          <w:bCs/>
        </w:rPr>
        <w:t xml:space="preserve">Target user</w:t>
      </w:r>
      <w:r>
        <w:t xml:space="preserve">: A CHW in rural Ghana with a $60–100 TECNO or Infinix phone (3–4GB RAM) and no stable internet [7]. She needs immediate triage guidance — offline, on her existing device — to determine which patients require urgent referral. Transsion brands (TECNO, Infinix, itel) hold &gt;50% of the African smartphone market [8].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 Nku demonstrates that AI-powered clinical triage on budget smartphones is technically feasible.</w:t>
      </w:r>
      <w:r>
        <w:t xml:space="preserve"> </w:t>
      </w:r>
      <w:r>
        <w:rPr>
          <w:b/>
          <w:bCs/>
        </w:rPr>
        <w:t xml:space="preserve">Deployment pathway</w:t>
      </w:r>
      <w:r>
        <w:t xml:space="preserve">: Pilot with 5–10 CHWs in rural Ghana → threshold calibration → Ghana Health Service partnerships → Play Asset Delivery / sideloaded APK distribution.</w:t>
      </w:r>
    </w:p>
    <w:bookmarkEnd w:id="20"/>
    <w:bookmarkStart w:id="21" w:name="overall-solution"/>
    <w:p>
      <w:pPr>
        <w:pStyle w:val="Heading3"/>
      </w:pPr>
      <w:r>
        <w:t xml:space="preserve">Overall solution</w:t>
      </w:r>
    </w:p>
    <w:p>
      <w:pPr>
        <w:pStyle w:val="FirstParagraph"/>
      </w:pPr>
      <w:r>
        <w:rPr>
          <w:b/>
          <w:bCs/>
        </w:rPr>
        <w:t xml:space="preserve">Nku runs entirely offline — no cloud, no API keys, no connectivity required. Every line of clinical reasoning executes on the phone itself.</w:t>
      </w:r>
    </w:p>
    <w:p>
      <w:pPr>
        <w:pStyle w:val="BodyText"/>
      </w:pPr>
      <w:r>
        <w:rPr>
          <w:b/>
          <w:bCs/>
        </w:rPr>
        <w:t xml:space="preserve">Nku</w:t>
      </w:r>
      <w:r>
        <w:t xml:space="preserve"> </w:t>
      </w:r>
      <w:r>
        <w:t xml:space="preserve">(Ewe:</w:t>
      </w:r>
      <w:r>
        <w:t xml:space="preserve"> </w:t>
      </w:r>
      <w:r>
        <w:t xml:space="preserve">“eye”</w:t>
      </w:r>
      <w:r>
        <w:t xml:space="preserve">) runs MedGemma</w:t>
      </w:r>
      <w:r>
        <w:t xml:space="preserve"> </w:t>
      </w:r>
      <w:r>
        <w:rPr>
          <w:b/>
          <w:bCs/>
        </w:rPr>
        <w:t xml:space="preserve">entirely on $60–100 Android smartphones</w:t>
      </w:r>
      <w:r>
        <w:t xml:space="preserve"> </w:t>
      </w:r>
      <w:r>
        <w:t xml:space="preserve">— 100% on-device, zero cloud dependency. It is a proof-of-concept prototype; field validation with CHWs is the critical next step.</w:t>
      </w:r>
    </w:p>
    <w:p>
      <w:pPr>
        <w:pStyle w:val="BodyText"/>
      </w:pPr>
      <w:r>
        <w:rPr>
          <w:b/>
          <w:bCs/>
        </w:rPr>
        <w:t xml:space="preserve">MedGemma 4B is irreplaceable</w:t>
      </w:r>
      <w:r>
        <w:t xml:space="preserve"> </w:t>
      </w:r>
      <w:r>
        <w:t xml:space="preserve">in this system. It is the sole clinical reasoning engine, performing the interpretation that transforms raw sensor data and symptoms into structured triage assessments — a capability no smaller model possesses. Cloud inference fails completely in low-connectivity zones. Only MedGemma, quantized to Q4_K_M and deployed via llama.cpp JNI on ARM64, enables the</w:t>
      </w:r>
      <w:r>
        <w:t xml:space="preserve"> </w:t>
      </w:r>
      <w:r>
        <w:rPr>
          <w:b/>
          <w:bCs/>
        </w:rPr>
        <w:t xml:space="preserve">offline + accurate</w:t>
      </w:r>
      <w:r>
        <w:t xml:space="preserve"> </w:t>
      </w:r>
      <w:r>
        <w:t xml:space="preserve">combination Nku requires.</w:t>
      </w:r>
    </w:p>
    <w:p>
      <w:pPr>
        <w:pStyle w:val="BodyText"/>
      </w:pPr>
      <w:r>
        <w:rPr>
          <w:b/>
          <w:bCs/>
        </w:rPr>
        <w:t xml:space="preserve">The Nku Cycle</w:t>
      </w:r>
      <w:r>
        <w:t xml:space="preserve"> </w:t>
      </w:r>
      <w:r>
        <w:t xml:space="preserve">is a multi-stage orchestration pipeline where MedGemma serves as the clinical reasoning engine within a self-adapting workflow: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8"/>
        <w:gridCol w:w="1848"/>
        <w:gridCol w:w="1584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Sense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Nku Sentinel (4 detectors)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Camera → structured vital signs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ML Kit / Cloud Translate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~30MB/lang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Non-English input → English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Reason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MedGemma 4B (Q4_K_M)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 reasoning on symptoms + sensor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ML Kit / Cloud Translate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~30MB/lang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English → non-English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Speak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System TTS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Spoken result in local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WHO/IMCI rules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Deterministic triage if MedGemma unavailable</w:t>
            </w:r>
          </w:p>
        </w:tc>
      </w:tr>
    </w:tbl>
    <w:p>
      <w:pPr>
        <w:pStyle w:val="BodyText"/>
      </w:pPr>
      <w:r>
        <w:t xml:space="preserve">Each stage operates independently. Built-in safety checks (confidence gating, thermal management) automatically reroute to WHO/IMCI rule-based triage if sensor data is unreliable or the device overheats. All medical inference is 100% on-device. ML Kit provides on-device translation for 59 languages; Cloud Translate extends reach to indigenous languages (Ewe, Twi, Hausa, Yoruba, etc.) when online. Every CHW always has a fully offline triage path.</w:t>
      </w:r>
    </w:p>
    <w:p>
      <w:pPr>
        <w:pStyle w:val="BodyText"/>
      </w:pPr>
      <w:r>
        <w:rPr>
          <w:b/>
          <w:bCs/>
        </w:rPr>
        <w:t xml:space="preserve">Before/after — why structured prompting matters</w:t>
      </w:r>
      <w:r>
        <w:t xml:space="preserve">: MedGemma was trained on clinical text, not smartphone sensor data. A naive prompt like</w:t>
      </w:r>
      <w:r>
        <w:t xml:space="preserve"> </w:t>
      </w:r>
      <w:r>
        <w:rPr>
          <w:i/>
          <w:iCs/>
        </w:rPr>
        <w:t xml:space="preserve">“the patient looks pale and her eyes are puffy”</w:t>
      </w:r>
      <w:r>
        <w:t xml:space="preserve"> </w:t>
      </w:r>
      <w:r>
        <w:t xml:space="preserve">yields generic advice. Nku’s</w:t>
      </w:r>
      <w:r>
        <w:t xml:space="preserve"> </w:t>
      </w:r>
      <w:r>
        <w:rPr>
          <w:rStyle w:val="VerbatimChar"/>
        </w:rPr>
        <w:t xml:space="preserve">ClinicalReasoner</w:t>
      </w:r>
      <w:r>
        <w:t xml:space="preserve"> </w:t>
      </w:r>
      <w:r>
        <w:t xml:space="preserve">instead feeds MedGemma quantified biomarkers with methodology and confidence:</w:t>
      </w:r>
    </w:p>
    <w:p>
      <w:pPr>
        <w:pStyle w:val="BlockText"/>
      </w:pPr>
      <w:r>
        <w:rPr>
          <w:rStyle w:val="VerbatimChar"/>
        </w:rPr>
        <w:t xml:space="preserve">Conjunctival saturation: 0.08 (healthy ≥0.20, pallor threshold ≤0.10), pallor index: 0.68, severity: MODERATE. EAR: 2.15 (normal ≈2.8, edema threshold ≤2.2), edema index: 0.52. Patient pregnant, 32 weeks.</w:t>
      </w:r>
    </w:p>
    <w:p>
      <w:pPr>
        <w:pStyle w:val="FirstParagraph"/>
      </w:pPr>
      <w:r>
        <w:t xml:space="preserve">MedGemma’s response to this structured input:</w:t>
      </w:r>
    </w:p>
    <w:p>
      <w:pPr>
        <w:pStyle w:val="BlockText"/>
      </w:pPr>
      <w:r>
        <w:rPr>
          <w:rStyle w:val="VerbatimChar"/>
        </w:rPr>
        <w:t xml:space="preserve">SEVERITY: HIGH | URGENCY: IMMEDIATE</w:t>
      </w:r>
      <w:r>
        <w:t xml:space="preserve"> </w:t>
      </w:r>
      <w:r>
        <w:t xml:space="preserve">— Identifies the classic preeclampsia triad (edema + headache + pregnancy &gt;20 weeks), flags concurrent anemia, and recommends same-day facility referral with specific danger signs to communicate to the patient. Full reasoning example in Appendix C.</w:t>
      </w:r>
    </w:p>
    <w:p>
      <w:pPr>
        <w:pStyle w:val="FirstParagraph"/>
      </w:pPr>
      <w:r>
        <w:t xml:space="preserve">This structured prompting achieves a median 53% improvement over zero-shot baselines [9] — transforming MedGemma from a general medical QA model into a structured sensor data interpreter for CHW triage.</w:t>
      </w:r>
    </w:p>
    <w:bookmarkEnd w:id="21"/>
    <w:bookmarkStart w:id="24" w:name="technical-details"/>
    <w:p>
      <w:pPr>
        <w:pStyle w:val="Heading3"/>
      </w:pPr>
      <w:r>
        <w:t xml:space="preserve">Technical details</w:t>
      </w:r>
    </w:p>
    <w:p>
      <w:pPr>
        <w:pStyle w:val="FirstParagraph"/>
      </w:pPr>
      <w:r>
        <w:rPr>
          <w:b/>
          <w:bCs/>
        </w:rPr>
        <w:t xml:space="preserve">Edge AI — Quantization &amp; Memory</w:t>
      </w:r>
      <w:r>
        <w:t xml:space="preserve">: We achieve</w:t>
      </w:r>
      <w:r>
        <w:t xml:space="preserve"> </w:t>
      </w:r>
      <w:r>
        <w:rPr>
          <w:b/>
          <w:bCs/>
        </w:rPr>
        <w:t xml:space="preserve">71% model size reduction</w:t>
      </w:r>
      <w:r>
        <w:t xml:space="preserve"> </w:t>
      </w:r>
      <w:r>
        <w:t xml:space="preserve">(8GB → 2.3GB) via Q4_K_M quantization while retaining 81% of MedQA accuracy (56% quantized vs. 69% unquantized baseline). The model runs on 3–4GB RAM devices via</w:t>
      </w:r>
      <w:r>
        <w:t xml:space="preserve"> </w:t>
      </w:r>
      <w:r>
        <w:rPr>
          <w:rStyle w:val="VerbatimChar"/>
        </w:rPr>
        <w:t xml:space="preserve">mmap</w:t>
      </w:r>
      <w:r>
        <w:t xml:space="preserve"> </w:t>
      </w:r>
      <w:r>
        <w:t xml:space="preserve">— the OS pages model data on demand, so peak resident memory adapts to available RAM. We systematically benchmarked four quantization levels: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Size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MedQA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Primary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Q4_K_M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2.3 GB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56.0%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Deployed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IQ2_XS + imatrix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43.8%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Viable ultra-compact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Q2_K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Worse than IQ2_XS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IQ1_M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1.1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Near random</w:t>
            </w:r>
          </w:p>
        </w:tc>
      </w:tr>
    </w:tbl>
    <w:p>
      <w:pPr>
        <w:pStyle w:val="BodyText"/>
      </w:pPr>
      <w:r>
        <w:rPr>
          <w:i/>
          <w:iCs/>
        </w:rPr>
        <w:t xml:space="preserve">Each model evaluated single-shot on the full MedQA test set (1,273 questions) and the primary care subset (707 questions) — one attempt per question, no repeated runs or best-of-N selection.</w:t>
      </w:r>
    </w:p>
    <w:p>
      <w:pPr>
        <w:pStyle w:val="BodyText"/>
      </w:pPr>
      <w:r>
        <w:rPr>
          <w:b/>
          <w:bCs/>
        </w:rPr>
        <w:t xml:space="preserve">Key finding</w:t>
      </w:r>
      <w:r>
        <w:t xml:space="preserve">: IQ2_XS with medical imatrix calibration outperforms the larger Q2_K by +9.1pp — domain-specific calibration matters more than raw bit budget. We created a 243-scenario African clinical triage calibration dataset across 14+ languages for imatrix generation.</w:t>
      </w:r>
    </w:p>
    <w:p>
      <w:pPr>
        <w:pStyle w:val="BodyText"/>
      </w:pPr>
      <w:r>
        <w:rPr>
          <w:b/>
          <w:bCs/>
        </w:rPr>
        <w:t xml:space="preserve">Nku Sentinel — Camera-Based Screening (0 MB additional weights)</w:t>
      </w:r>
      <w:r>
        <w:t xml:space="preserve">: CHWs often lack equipment [4]. Nku extracts vital signs using only the phone camera via pure signal processing, then feeds structured biomarkers to MedGemma for clinical interpretation: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377"/>
        <w:gridCol w:w="1377"/>
        <w:gridCol w:w="32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Screening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Fitzpatrick-aware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Heart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Green channel rPPG, 10s DFT [10,11,12]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±5 BPM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Adaptive thresholds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Anemia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Conjunctival HSV analysis [13,14]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Pallor score 0–1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Conjunctiva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Jaundice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Scleral HSV analysis [15,16]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Jaundice score 0–1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Scleral tissue (unpigmented)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Preeclampsia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Facial geometry EAR [17,18]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Edema score 0–1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Geometry (color-independent)</w:t>
            </w:r>
          </w:p>
        </w:tc>
      </w:tr>
    </w:tbl>
    <w:p>
      <w:pPr>
        <w:pStyle w:val="BodyText"/>
      </w:pPr>
      <w:r>
        <w:t xml:space="preserve">All screening modalities are deliberately</w:t>
      </w:r>
      <w:r>
        <w:t xml:space="preserve"> </w:t>
      </w:r>
      <w:r>
        <w:rPr>
          <w:b/>
          <w:bCs/>
        </w:rPr>
        <w:t xml:space="preserve">skin-tone independent</w:t>
      </w:r>
      <w:r>
        <w:t xml:space="preserve"> </w:t>
      </w:r>
      <w:r>
        <w:t xml:space="preserve">— critical for Fitzpatrick V-VI populations. Sensor confidence must exceed 75% for inclusion in MedGemma’s prompt; below-threshold readings trigger a localized ⚠ warning prompting the CHW to re-capture in better conditions. When MedGemma is unavailable, the app displays a transparency banner identifying the triage as guideline-based (WHO/IMCI) with actionable recovery steps — all in the CHW’s selected language.</w:t>
      </w:r>
    </w:p>
    <w:p>
      <w:pPr>
        <w:pStyle w:val="BodyText"/>
      </w:pPr>
      <w:r>
        <w:rPr>
          <w:b/>
          <w:bCs/>
        </w:rPr>
        <w:t xml:space="preserve">Safety</w:t>
      </w:r>
      <w:r>
        <w:t xml:space="preserve">: 6-layer</w:t>
      </w:r>
      <w:r>
        <w:t xml:space="preserve"> </w:t>
      </w:r>
      <w:r>
        <w:rPr>
          <w:rStyle w:val="VerbatimChar"/>
        </w:rPr>
        <w:t xml:space="preserve">PromptSanitizer</w:t>
      </w:r>
      <w:r>
        <w:t xml:space="preserve"> </w:t>
      </w:r>
      <w:r>
        <w:t xml:space="preserve">at every model boundary (zero-width stripping, homoglyph normalization, base64 detection, regex patterns, character allowlist, delimiter wrapping). Auto-pause at 42°C. SQLCipher AES-256 encryption at rest. Always-on</w:t>
      </w:r>
      <w:r>
        <w:t xml:space="preserve"> </w:t>
      </w:r>
      <w:r>
        <w:t xml:space="preserve">“Consult a healthcare professional”</w:t>
      </w:r>
      <w:r>
        <w:t xml:space="preserve"> </w:t>
      </w:r>
      <w:r>
        <w:t xml:space="preserve">disclaimer.</w:t>
      </w:r>
    </w:p>
    <w:p>
      <w:pPr>
        <w:pStyle w:val="BodyText"/>
      </w:pPr>
      <w:r>
        <w:rPr>
          <w:b/>
          <w:bCs/>
        </w:rPr>
        <w:t xml:space="preserve">46 Pan-African languages</w:t>
      </w:r>
      <w:r>
        <w:t xml:space="preserve"> </w:t>
      </w:r>
      <w:r>
        <w:t xml:space="preserve">(14 clinically verified) via ML Kit on-device + Cloud Translate fallback.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Prize Track</w:t>
      </w:r>
      <w:r>
        <w:t xml:space="preserve">:</w:t>
      </w:r>
      <w:r>
        <w:t xml:space="preserve"> </w:t>
      </w:r>
      <w:r>
        <w:rPr>
          <w:b/>
          <w:bCs/>
        </w:rPr>
        <w:t xml:space="preserve">Main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Edge AI</w:t>
      </w:r>
      <w:r>
        <w:t xml:space="preserve"> </w:t>
      </w:r>
      <w:r>
        <w:t xml:space="preserve">— Q4_K_M compression (8GB→2.3GB), mmap loading on $60–100 phones (3–4GB RAM), llama.cpp JNI (NDK 29, ARM64 NEON), systematic 4-level quantization benchmark (IQ2_XS with medical imatrix calibration), 100% on-device inference.</w:t>
      </w:r>
    </w:p>
    <w:p>
      <w:pPr>
        <w:pStyle w:val="BodyText"/>
      </w:pPr>
      <w:r>
        <w:rPr>
          <w:b/>
          <w:bCs/>
        </w:rPr>
        <w:t xml:space="preserve">Open source</w:t>
      </w:r>
      <w:r>
        <w:t xml:space="preserve">: Nku is fully open source under the Apache License 2.0 (compatible with the competition’s CC BY 4.0 requirement — Apache 2.0 is strictly more permissive). Source code, scripts, and calibration data on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  <w:r>
        <w:t xml:space="preserve">. Quantized model weights on</w:t>
      </w:r>
      <w:r>
        <w:t xml:space="preserve"> </w:t>
      </w:r>
      <w:hyperlink r:id="rId23">
        <w:r>
          <w:rPr>
            <w:rStyle w:val="Hyperlink"/>
          </w:rPr>
          <w:t xml:space="preserve">HuggingFace</w:t>
        </w:r>
      </w:hyperlink>
      <w:r>
        <w:t xml:space="preserve"> </w:t>
      </w:r>
      <w:r>
        <w:t xml:space="preserve">(subject to Google Gemma Terms of Use).</w:t>
      </w:r>
    </w:p>
    <w:p>
      <w:pPr>
        <w:pStyle w:val="BodyText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kaggle_submission_appendices.md</w:t>
      </w:r>
      <w:r>
        <w:rPr>
          <w:i/>
          <w:iCs/>
        </w:rPr>
        <w:t xml:space="preserve"> </w:t>
      </w:r>
      <w:r>
        <w:rPr>
          <w:i/>
          <w:iCs/>
        </w:rPr>
        <w:t xml:space="preserve">for full references [1–29], language list (46), calibration scenarios, MedGemma reasoning examples, sensor pipeline details, and safety architecture.</w:t>
      </w:r>
    </w:p>
    <w:p>
      <w:pPr>
        <w:pStyle w:val="BodyText"/>
      </w:pPr>
      <w:r>
        <w:rPr>
          <w:i/>
          <w:iCs/>
        </w:rPr>
        <w:t xml:space="preserve">Development tooling: Google Antigravity (Gemini 3 Flash/Pro, Claude Opus 4.5/4.6); OpenAI Codex IDE (GPT 5.3 Codex).</w:t>
      </w:r>
    </w:p>
    <w:bookmarkEnd w:id="24"/>
    <w:sectPr w:rsidR="00FC693F" w:rsidRPr="0006063C" w:rsidSect="00034616">
      <w:footerReference r:id="rId9" w:type="default"/>
      <w:pgSz w:h="15840" w:w="12240"/>
      <w:pgMar w:bottom="720" w:footer="720" w:gutter="0" w:header="720" w:left="720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fldChar w:fldCharType="begin"/>
    </w:r>
    <w:r>
      <w:rPr>
        <w:rFonts w:ascii="Calibri" w:hAnsi="Calibri"/>
        <w:sz w:val="18"/>
      </w:rPr>
      <w:instrText xml:space="preserve"> PAGE </w:instrText>
    </w:r>
    <w:r>
      <w:rPr>
        <w:rFonts w:ascii="Calibri" w:hAnsi="Calibri"/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hyperlink" Id="rId22" Target="https://github.com/Elormyevu/nku-medgemma-conversion" TargetMode="External" /><Relationship Type="http://schemas.openxmlformats.org/officeDocument/2006/relationships/hyperlink" Id="rId23" Target="https://huggingface.co/wredd/medgemma-4b-ggu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Elormyevu/nku-medgemma-conversion" TargetMode="External" /><Relationship Type="http://schemas.openxmlformats.org/officeDocument/2006/relationships/hyperlink" Id="rId23" Target="https://huggingface.co/wredd/medgemma-4b-ggu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2026-02-14T00:39:21Z</dcterms:created>
  <dcterms:modified xsi:type="dcterms:W3CDTF">2026-02-14T00:39:21Z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