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rFonts w:ascii="Calibri" w:cs="Calibri" w:eastAsia="Calibri" w:hAnsi="Calibri"/>
          <w:b/>
          <w:bCs/>
          <w:color w:val="555555"/>
          <w:sz w:val="20"/>
          <w:szCs w:val="20"/>
        </w:rPr>
        <w:t xml:space="preserve">Tech Sphere Challenge 2026 · Source Meridian</w:t>
      </w:r>
    </w:p>
    <w:p>
      <w:pPr>
        <w:pBdr>
          <w:bottom w:val="single" w:color="2C3E50" w:sz="12"/>
        </w:pBdr>
        <w:spacing w:after="0" w:before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/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A1A1A"/>
          <w:sz w:val="48"/>
          <w:szCs w:val="48"/>
        </w:rPr>
        <w:t xml:space="preserve">Protocolo de Validación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Cómo se valida la política de decisión clínica contra los 160 casos</w:t>
      </w:r>
    </w:p>
    <w:p>
      <w:pPr>
        <w:spacing w:after="0" w:before="20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Fase 1 · Punto 3 · Cierre de fase · Diseño experimental + scripts</w:t>
      </w:r>
    </w:p>
    <w:p>
      <w:pPr>
        <w:spacing w:after="0" w:before="60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Métrica primaria: recall sobre rojo como restricción dura (no accuracy)</w:t>
      </w:r>
    </w:p>
    <w:p>
      <w:pPr>
        <w:spacing w:after="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Autor: Luis A. Araque Ovalle</w:t>
      </w:r>
    </w:p>
    <w:p>
      <w:pPr>
        <w:spacing w:after="0" w:before="4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Depende de: documento de Política de Decisión Clínica (Fase 1, punto 2)</w:t>
      </w:r>
    </w:p>
    <w:p>
      <w:pPr>
        <w:spacing w:after="60" w:before="50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Convención epistemológica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1800"/>
        <w:gridCol w:w="7560"/>
      </w:tblGrid>
      <w:tr>
        <w:tc>
          <w:tcPr>
            <w:tcW w:type="dxa" w:w="1800"/>
            <w:shd w:fill="1E5A2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HECHO</w:t>
            </w:r>
          </w:p>
        </w:tc>
        <w:tc>
          <w:tcPr>
            <w:tcW w:type="dxa" w:w="7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Verificado sobre el dataset o los .md del reto. Reproducible.</w:t>
            </w:r>
          </w:p>
        </w:tc>
      </w:tr>
      <w:tr>
        <w:tc>
          <w:tcPr>
            <w:tcW w:type="dxa" w:w="1800"/>
            <w:shd w:fill="8A6D0B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INFERENCIA</w:t>
            </w:r>
          </w:p>
        </w:tc>
        <w:tc>
          <w:tcPr>
            <w:tcW w:type="dxa" w:w="7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Deducción a partir de hechos + diseño experimental estándar.</w:t>
            </w:r>
          </w:p>
        </w:tc>
      </w:tr>
      <w:tr>
        <w:tc>
          <w:tcPr>
            <w:tcW w:type="dxa" w:w="1800"/>
            <w:shd w:fill="8A4B08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ESPECULACIÓN</w:t>
            </w:r>
          </w:p>
        </w:tc>
        <w:tc>
          <w:tcPr>
            <w:tcW w:type="dxa" w:w="7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Parámetro o supuesto de diseño sin medición directa. Declarado.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0. Qué valida este protocolo — y qué deliberadamente no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Este protocolo valida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la política de decisión como reglas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si el mapeo señal→criticidad→acción clasifica y escala correctamente. No valida la extracción de señales desde el habla (Fase 3), ni el RAG clínico (fase de RAG). Esa separación es una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decisión metodológica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 una omisión — mezclar las tres mediciones haría imposible atribuir un fallo a su causa.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Corrección de encuadre respecto a fases previas (verificada contra rúbrica §7 y README). Los 160 casos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son el conjunto de evaluación del reto.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La rúbrica evalúa con «escenarios de decisión interpretados por el jurado, entradas adversas y material que tu agente no habrá visto antes», y la final del 5 sep prohíbe demo pregrabado: «el panel dicta qué probar en el momento». Los 160 casos son conjunto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desarrollo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 de test.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Consecuencia: el protocolo no mide «el recall que sacaré en la evaluación» — mide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transferibilidad por diseño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La pregunta correcta no es «¿cuál es mi accuracy sobre 160 casos?» sino «¿el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mecanismo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la política es sensible a rojo de una forma que sobrevive a casos no vistos?». Reportar recall-en-muestra como si predijera la nota se leería como sobreajuste ante un jurado que sabe que evalúa con otros casos.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1. Métrica: recall-rojo como restricción dura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A1A1A"/>
        </w:rPr>
        <w:t xml:space="preserve">1.1 Por qué recall-rojo y no accuracy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Con desbalance 123/25/12, predecir siempre «verde» da accuracy 76.9% y </w:t>
      </w:r>
      <w:r>
        <w:rPr>
          <w:rFonts w:ascii="Calibri" w:cs="Calibri" w:eastAsia="Calibri" w:hAnsi="Calibri"/>
          <w:b/>
          <w:bCs/>
          <w:color w:val="B22222"/>
          <w:sz w:val="21"/>
          <w:szCs w:val="21"/>
        </w:rPr>
        <w:t xml:space="preserve">recall-rojo = 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Accuracy es una métrica basura aquí. La restricción dura del diseño (de la matriz de costos, política §4.1) es:</w:t>
      </w:r>
    </w:p>
    <w:p>
      <w:pPr>
        <w:pBdr>
          <w:top w:val="single" w:color="DDDDD5" w:sz="4"/>
          <w:bottom w:val="single" w:color="DDDDD5" w:sz="4"/>
          <w:left w:val="single" w:color="2C3E50" w:sz="12"/>
          <w:right w:val="single" w:color="DDDDD5" w:sz="4"/>
        </w:pBdr>
        <w:shd w:fill="F5F5F0" w:color="auto" w:val="clear"/>
        <w:spacing w:after="120" w:before="80" w:line="260"/>
      </w:pPr>
      <w:r>
        <w:rPr>
          <w:rFonts w:ascii="Consolas" w:cs="Consolas" w:eastAsia="Consolas" w:hAnsi="Consolas"/>
          <w:color w:val="2A2A2A"/>
          <w:sz w:val="18"/>
          <w:szCs w:val="18"/>
        </w:rPr>
        <w:t xml:space="preserve">OBJETIVO PRIMARIO (constraint duro):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recall_rojo  -&gt;  1.0    (minimizar falsos negativos de escalamiento)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OBJETIVO SECUNDARIO (sujeto al primario):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maximizar precision_verde y minimizar sobre-escalamiento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SOLO mientras recall_rojo se mantenga en su objetivo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Orden lexicográfico, no ponderado: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se sacrifica un punto de recall-rojo por ganar precisión en verde.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La asimetría clínica (falso negativo ≫ falso positivo) lo impone.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A1A1A"/>
        </w:rPr>
        <w:t xml:space="preserve">1.2 Desagregación rojos-claros vs rojos-sutiles (hallazgo de rúbrica)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La rúbrica penaliza literalmente «no alertar cuando había que alertar» en escenarios donde escalar era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claramente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correcto, y distingue una ocurrencia («limita severamente») de la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reincidencia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(«puede anularla»). Esto obliga a medir el recall-rojo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desagregado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 global: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Subgrupo</w:t>
            </w:r>
          </w:p>
        </w:tc>
        <w:tc>
          <w:tcPr>
            <w:tcW w:type="dxa" w:w="140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536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Definición y severidad de un FN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2222"/>
                <w:sz w:val="19"/>
                <w:szCs w:val="19"/>
              </w:rPr>
              <w:t xml:space="preserve">Rojos-CLAROS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3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≥1 bandera pura (purulenta / incapacitante_nueva / fiebre≥38 / dolor≥7-tardío). Un FN aquí es indefendible: la rúbrica lo llama «claramente» escalable. Recall objetivo = 1.0 estricto.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9"/>
                <w:szCs w:val="19"/>
              </w:rPr>
              <w:t xml:space="preserve">Rojos-SUTILES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3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0 banderas puras; detectable solo por agregación. En esta muestra: NINGUNO, tras promover dolor≥7-tardío a bandera (política §3.2). El antiguo sutil (caso ...42_00017_7: dolor=9) quedó capturado por bandera.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Que los 12 rojos sean «claros» tras la enmienda de dolor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es un logro de cobertura general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es un hecho sobre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esta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muestra: el único rojo que antes dependía de agregación resultó tener dolor extremo (9/10), capturable por bandera.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 declara sin inflar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un rojo-sutil hipotético sin señal fuerte alguna (dolor moderado, fiebre borderline, sin banderas) seguiría siendo un hueco de detección. La muestra no contiene tal caso; no afirmamos cobertura sobre una clase no observada. La agregación (nivel 2) sigue siendo la red para ese hueco, aunque aquí no haya un caso que la ejercite en rojo.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A1A1A"/>
        </w:rPr>
        <w:t xml:space="preserve">1.3 El intervalo de confianza, sin adornos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n=12 rojos globales. El recall-rojo tiene IC amplio: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un solo error mueve el recall ~8 puntos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(1/12 ≈ 8.3%). Cualquier cifra se reporta como estimación con banda, nunca como punto preciso.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Sobre la desagregación tras la enmienda de dolor: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la muestra ya no contiene rojos-sutiles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(el único quedó capturado por la bandera dolor≥7). Esto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elimina el problema de medición con n=1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en esta muestra — pero no porque lo resolviéramos en general, sino porque el caso resultó tener señal fuerte. La categoría «rojo-sutil sin señal fuerte» sigue siendo un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hueco conceptual no observado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si el jurado presenta uno, dependería enteramente de la agregación (nivel 2), que aquí no tiene ningún rojo que la ejercite. Se declara como límite, no se oculta tras el «12/12 claros».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Método de IC.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Para recall-rojo global (n=12) se reporta intervalo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Wilson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(no Wald: Wald es inválido con n pequeño y proporciones cerca de 1). Se reporta el intervalo, no solo el punto. Para n=1 no se reporta intervalo: se reporta el resultado binario y se declara la limitación.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Honestidad estructural para el informe y la defensa: con n=12, ninguna comparación de recall entre variantes de política es estadísticamente concluyente. La validación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sirve para «elegir la mejor política por recall» — sirve para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descartar políticas que fallan rojos-claros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y para verificar que el mecanismo es sensato. La confianza real viene del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diseño anclado a corpus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 del número.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2. Simular la política de indagación (no clasificar vectores completos)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A1A1A"/>
        </w:rPr>
        <w:t xml:space="preserve">2.1 La trampa que se evita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Si se valida pasando el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vector completo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señales de cada caso, se mide un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clasificador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 un agente que indaga: con todas las señales presentes, la compuerta de suficiencia (política §4.2) nunca dispara repregunta. Se ejecutaría ~60% de la política y el 40% no ejecutado es justo el diferenciador de capa 2. La validación tiene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simular revelación incremental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señales, turno a turno.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A1A1A"/>
        </w:rPr>
        <w:t xml:space="preserve">2.2 Fuente de señal: por qué solo puede ser la trayectoria (Opción 1)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Verificado sobre 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dataset_final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no existe ninguna columna estructurada de «qué señal se revela en cada turno». Las columnas son metadatos (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turno_idx, hablante, capa, estilo_paciente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…) y 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texto libre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La señal clínica vive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solo en el texto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Por tanto el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único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ground-truth de señal estructurada es 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trayectorias_silver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que es el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estado del caso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 lo dicho por turno. El simulador revela señales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desde la trayectoria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(Opción 1): cuando la política «pregunta» por una señal, el simulador la entrega desde ahí. Extraer la señal del texto (Opción 2) sería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hacer la extracción de Fase 3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contaminando la separación política/extracción. Opción 2 queda diferida a Fase 3 como validación end-to-end, medición distinta.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A1A1A"/>
        </w:rPr>
        <w:t xml:space="preserve">2.3 Modelar la evasión de capa 2 (calibración C)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Revelar toda señal al preguntar (p=1) colapsaría la capa 2 a «clasificador con vector completo en 6 turnos» y perdería el punto. La capa 2 se modela con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revelación probabilística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una señal oculta se revela al preguntar con probabilidad 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p_revelación &lt; 1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dependiente del estilo del paciente (evasivo revela menos que colaborativo).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Calibración de p (Salida C, acordada).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El parámetro se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estima empíricamente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del dataset, pero la estimación se hace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fuera del lazo de validación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para no contaminar: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Un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keyword-matcher determinista y auditable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(lista de términos por señal, publicada) cuenta, sobre los textos de paciente de capa 2, en qué turno aparece por primera vez cada señal.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Solo mide disponibilidad temporal, nunca criticidad.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 ahí se estima 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p̂_revelación por estilo_paciente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(5 estilos: minimizador, confundido, colaborativo, evasivo, ansioso).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Ese número entra como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constante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al validador,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nunca vuelve a tocar texto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La validación de la política corre sobre revelación simulada con p̂.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Por qué C reconcilia rigor y separación: el parámetro es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empírico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(no inventado, respeta tu preferencia por medir), pero la medición está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fuera del lazo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(el validador no ve texto, respeta §7). El keyword-matcher se declara en el informe como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instrumento de calibración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explícitamente distinto del extractor de producción.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4B08"/>
          <w:sz w:val="18"/>
          <w:szCs w:val="18"/>
        </w:rPr>
        <w:t xml:space="preserve">[ESPECULACIÓN]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Sesgo declarado del keyword-matcher: un sinónimo regional no listado cuenta la señal como ausente →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subestima la revelación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→ p̂ sesgado a la baja → el simulador asume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más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evasión de la real. El sesgo es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conservador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el validador erra hacia sobre-indagar, no hacia sub-indagar. Coherente con la asimetría; aceptable para una restricción de seguridad.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color w:val="1A1A1A"/>
        </w:rPr>
        <w:t xml:space="preserve">2.4 El lazo de simulación (pseudocódigo)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Para cada caso, con su vector real de trayectoria y su 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p̂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por estilo:</w:t>
      </w:r>
    </w:p>
    <w:p>
      <w:pPr>
        <w:pBdr>
          <w:top w:val="single" w:color="DDDDD5" w:sz="4"/>
          <w:bottom w:val="single" w:color="DDDDD5" w:sz="4"/>
          <w:left w:val="single" w:color="2C3E50" w:sz="12"/>
          <w:right w:val="single" w:color="DDDDD5" w:sz="4"/>
        </w:pBdr>
        <w:shd w:fill="F5F5F0" w:color="auto" w:val="clear"/>
        <w:spacing w:after="120" w:before="80" w:line="260"/>
      </w:pPr>
      <w:r>
        <w:rPr>
          <w:rFonts w:ascii="Consolas" w:cs="Consolas" w:eastAsia="Consolas" w:hAnsi="Consolas"/>
          <w:color w:val="2A2A2A"/>
          <w:sz w:val="18"/>
          <w:szCs w:val="18"/>
        </w:rPr>
        <w:t xml:space="preserve">estado = { senales_reveladas: {}, turnos_usados: 0 }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repetir hasta suficiencia o agotar presupuesto global (6-8):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decision = politica.evaluar(estado.senales_reveladas, dia_postop)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si decision in {ROJO, VERDE, AMARILLO-terminal}:  -&gt; clasificar, fin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si decision == REPREGUNTAR(senal_objetivo):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    # prioridad: senal adyacente a bandera roja primero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    con prob p_hat[estilo]:  revelar senal_objetivo desde trayectoria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    con prob (1-p_hat):      senal sigue oculta (evasion)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    estado.turnos_usados += 1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al agotar presupuesto: aplicar escalamiento graduado (politica 4.2):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senal irresuelta adyacente a bandera roja  -&gt; ROJO</w:t>
      </w:r>
      <w:r>
        <w:rPr>
          <w:rFonts w:ascii="Consolas" w:cs="Consolas" w:eastAsia="Consolas" w:hAnsi="Consolas"/>
          <w:color w:val="2A2A2A"/>
          <w:sz w:val="18"/>
          <w:szCs w:val="18"/>
        </w:rPr>
        <w:br/>
        <w:t xml:space="preserve">    senal irresuelta solo discriminador V&lt;-&gt;A  -&gt; AMARILLO (nunca verde)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Como la revelación es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estocástica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(depende de p̂), cada caso se simula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 veces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(p. ej. N=200) y se reporta la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distribución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 decisiones, no una sola corrida. Un rojo que se clasifica bien en el 100% de las corridas es robusto; uno que se clasifica bien solo en el 70% tiene un 30% de riesgo de FN bajo evasión — dato crítico que una sola corrida ocultaría.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3. Separación estricta de los dos errores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El fallo de un agente de voz tiene dos fuentes independientes. Medirlas juntas impide saber qué arreglar: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Fuente de error</w:t>
            </w:r>
          </w:p>
        </w:tc>
        <w:tc>
          <w:tcPr>
            <w:tcW w:type="dxa" w:w="616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Cómo se aísla en la validación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Error de POLÍTICA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La regla decide mal aun con la señal correcta disponible. Se mide en este protocolo, con señal revelada desde trayectoria (ground-truth), sin texto de por medio.</w:t>
            </w:r>
          </w:p>
        </w:tc>
      </w:tr>
      <w:tr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Error de EXTRACCIÓN</w:t>
            </w:r>
          </w:p>
        </w:tc>
        <w:tc>
          <w:tcPr>
            <w:tcW w:type="dxa" w:w="6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El agente no captó la señal del habla (audio/texto ruidoso). Se mide en Fase 3, por separado, con el extractor real sobre los textos de capa 2.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Regla de oro: en este protocolo,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cuando la política pregunta por una señal, la recibe correcta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(la única incertidumbre es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si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la recibe — evasión —, no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qué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recibe — extracción). Así, todo fallo observado aquí es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100% atribuible a la política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Cuando en Fase 3 se mida end-to-end, la diferencia entre ambos recalls es el error de extracción, ya limpiamente separado.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4. Batería de casos-frontera (validación + defensa en vivo)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La final del 5 sep es en vivo, sin demo pregrabado: «el panel dicta qué probar en el momento» (rúbrica §8). El protocolo debe cubrir los casos que un jurado técnico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atacará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que son las fronteras de la política — no los 160 casos promedio. Doble propósito: validan robustez y arman la defensa.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Los casos-frontera se derivan de dónde la política es más frágil (verificado en exploración):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Frontera</w:t>
            </w:r>
          </w:p>
        </w:tc>
        <w:tc>
          <w:tcPr>
            <w:tcW w:type="dxa" w:w="636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Caso de prueba y comportamiento esperado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22222"/>
                <w:sz w:val="19"/>
                <w:szCs w:val="19"/>
              </w:rPr>
              <w:t xml:space="preserve">El antiguo rojo-sutil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Dolor 9, fiebre 37.9, sin otra bandera. Tras la enmienda, la bandera dolor≥7-tardío lo captura por nivel 1. Verifica DOS cosas: que la bandera de dolor dispara con dolor revelado; y que bajo evasión total del dolor, el escalamiento graduado (dolor no resuelto → adyacente → rojo) igual lo escala. Nunca verde, nunca amarillo.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Fiebre en 37.9 (bajo umbral 38)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Debe disparar INDAGACIÓN (¿subió?, ¿supura la herida?), no clasificar directo. Verifica que la zona borderline no se cierra en verde.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Los 8 ambiguos de Q4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Amarillos que «parecen verdes» en dolor+fiebre pero tienen apetito/sueño alterados. La agregación multi-señal debe recuperarlos; un clasificador de un turno los pierde.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Bandera pura en día temprano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Purulenta en día 1 (no existe en el dataset). La política DEBE escalar igual (Opción B: banderas en cualquier régimen). Prueba que no se aprendió el sesgo «sin rojos antes del día 7».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Evasión total de una señal</w:t>
            </w:r>
          </w:p>
        </w:tc>
        <w:tc>
          <w:tcPr>
            <w:tcW w:type="dxa" w:w="63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Presupuesto agotado sin revelar la señal adyacente a bandera. Escalamiento graduado → ROJO. Verifica el invariante «nunca cerrar en verde con evidencia insuficiente».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El caso «bandera pura en día temprano» es sintético (no está en los 160) y por eso es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especulación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sobre el comportamiento — pero es exactamente lo que el jurado probará para ver si aprendimos medicina o aprendimos el generador. Tenerlo en la batería es la diferencia entre defender el diseño y ser sorprendido por él.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5. Validación separada: capa 1 vs capa 2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8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 1 (limpia)</w:t>
            </w:r>
          </w:p>
        </w:tc>
        <w:tc>
          <w:tcPr>
            <w:tcW w:type="dxa" w:w="348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 2 (ruidosa)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Qué mide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Piso de desempeño: ¿la política clasifica bien con evidencia completa y cooperativa?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El problema real: ¿la política indaga y escala bien bajo evasión e información faltante?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Revelación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p_revelación = 1 (todo disponible pronto). La indagación casi no se ejercita.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p̂_revelación &lt; 1 por estilo. La indagación es central.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Interpretación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 falla capa 1, la política está rota en su base. Condición necesaria, no suficiente.</w:t>
            </w:r>
          </w:p>
        </w:tc>
        <w:tc>
          <w:tcPr>
            <w:tcW w:type="dxa" w:w="34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Donde se ganan los puntos de decisión. El recall-rojo que importa es el de capa 2.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Se reportan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ambos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recalls. La brecha capa1→capa2 mide cuánto degrada la evasión a la política (aislada de extracción). Una política robusta muestra brecha pequeña; una frágil se desploma en capa 2. Esa brecha es, en sí, un resultado que la defensa puede exhibir.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6. Artefactos de validación (scripts que corre Luis)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Dos scripts, misma disciplina que la exploración previa (type hints, idempotentes, fallan ruidoso, sin efectos de red). Se corren en Fedora; su salida alimenta el informe.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Script</w:t>
            </w:r>
          </w:p>
        </w:tc>
        <w:tc>
          <w:tcPr>
            <w:tcW w:type="dxa" w:w="6760"/>
            <w:shd w:fill="2C3E5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calibrar_evasion.py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Keyword-matcher determinista sobre textos de paciente de capa 2. Estima p̂_revelación por estilo. Es el ÚNICO que toca texto. Salida: tabla de p̂ por estilo + auditoría de qué keywords dispararon (para revisar la lista).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validar_politica.py</w:t>
            </w:r>
          </w:p>
        </w:tc>
        <w:tc>
          <w:tcPr>
            <w:tcW w:type="dxa" w:w="67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Simula la política sobre los 160 casos (N corridas/caso), revelando señal desde trayectoria con p̂. NUNCA toca texto. Salida: recall-rojo global (Wilson IC) + desagregado claros/sutiles + capa1 vs capa2 + batería de casos-frontera + matriz de confusión.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Nota de dependencia.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Ambos scripts son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offline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no forman parte del levantamiento del agente, así que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 cuentan contra G2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(≤15 min). Pueden usar pandas/scipy/statsmodels sin restricción. Pero la política que ejecuta 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validar_politica.py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debe ser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exactamente el mismo módulo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que use el agente en producción — si divergen, se valida una cosa y se entrega otra. La política se implementa una vez, como módulo puro, y ambos (agente y validador) la importan.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Este último punto es una restricción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arquitectura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que baja del protocolo hacia Fase 2: la política de decisión es un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módulo sin estado ni dependencias de voz/RAG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testeable en aislamiento. Si la lógica de decisión quedara enredada dentro del prompt del LLM o del bucle de voz, no sería validable así, y perderíamos este protocolo entero.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7. Límites del protocolo (declarados)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rFonts w:ascii="Calibri" w:cs="Calibri" w:eastAsia="Calibri" w:hAnsi="Calibri"/>
          <w:b/>
          <w:bCs/>
          <w:color w:val="1E5A2E"/>
          <w:sz w:val="18"/>
          <w:szCs w:val="18"/>
        </w:rPr>
        <w:t xml:space="preserve">[HECHO]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n=12 rojos, 0 rojos-sutiles en la muestra (tras enmienda de dolor).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El recall-rojo global tiene IC de ±8 pt/error. La categoría rojo-sutil quedó vacía por artefacto de la muestra, no por cobertura probada — el hueco conceptual persiste (§1.3). Ninguna comparación fina entre políticas es concluyente. El protocolo descarta lo roto, no rankea lo bueno.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Opción 1 asume que preguntar puede revelar la señal.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Modela evasión (p̂&lt;1) pero no modela que el paciente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mienta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con una señal falsa. El dataset no da base para modelar mentira activa; se declara fuera de alcance.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rFonts w:ascii="Calibri" w:cs="Calibri" w:eastAsia="Calibri" w:hAnsi="Calibri"/>
          <w:b/>
          <w:bCs/>
          <w:color w:val="8A4B08"/>
          <w:sz w:val="18"/>
          <w:szCs w:val="18"/>
        </w:rPr>
        <w:t xml:space="preserve">[ESPECULACIÓN] </w:t>
      </w:r>
      <w:r>
        <w:rPr>
          <w:rFonts w:ascii="Consolas" w:cs="Consolas" w:eastAsia="Consolas" w:hAnsi="Consolas"/>
          <w:color w:val="1A1A1A"/>
          <w:sz w:val="21"/>
          <w:szCs w:val="21"/>
        </w:rPr>
        <w:t xml:space="preserve">p̂_revelación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se estima con keyword-matching, que subestima revelación (sesgo conservador declarado). El valor exacto de p̂ es aproximado; por eso se reporta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sensibilidad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(recall bajo un rango de p̂), no un único p̂.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Los 160 son dev set, no test.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El protocolo mide transferibilidad por mecanismo, pero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no puede probar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desempeño sobre los casos no vistos del jurado. Esa confianza es de diseño (anclaje a corpus), no empírica.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Validación de política ≠ validación de extracción ≠ validación de RAG.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Este protocolo cubre solo la primera. Las otras dos son fases con sus propias métricas; su ausencia aquí es deliberada.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color w:val="1A1A1A"/>
        </w:rPr>
        <w:t xml:space="preserve">8. Criterio de aprobación de la política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La política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pasa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la validación (y habilita Fase 2 de implementación) si y solo si: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recall-rojo sobre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rojos-claros = 1.0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en capa 2, en el 100% de las corridas (un FN en un rojo-claro es indefendible por rúbrica). Con la bandera de dolor≥7 (política §3.2), los 12 rojos son claros — ver nota de §1.2.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2. El rojo-sutil, reestructurado en tres piezas.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El umbral crudo «≥X% de corridas» estaba mal planteado: la política es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determinista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; la única aleatoriedad es la revelación. Un «95% de corridas» mezcla dos casos que §3 prohíbe mezclar — evidencia suficiente mal clasificada (bug) vs evasión que ocultó la evidencia (techo de información). Se parte: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2a — Nunca-verde: 100% de corridas, sin tolerancia.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No es umbral estadístico sino el invariante (criterio 4) aplicado al caso, y es estructuralmente garantizable: con dolor=9 revelado no hay S2 posible (además dispara bandera §3.2); con dolor oculto y presupuesto agotado, el escalamiento graduado da amarillo como mínimo. Cualquier corrida en verde es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 ruido.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2b — Compuerta condicional (la que bloquea):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en toda corrida donde la evidencia revelada satisface el criterio de agregación (o la bandera de dolor), la clasificación es ROJO en el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100%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. Determinista, verificable, 100% atribuible a la política.</w:t>
      </w:r>
    </w:p>
    <w:p>
      <w:pPr>
        <w:pStyle w:val="ListParagraph"/>
        <w:numPr>
          <w:ilvl w:val="0"/>
          <w:numId w:val="3"/>
        </w:numPr>
        <w:spacing w:after="80" w:line="268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2c — Tasa incondicional de ROJO: se reporta, no bloquea.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Con análisis de sensibilidad sobre el rango de p̂ (§7). Mide el techo de información bajo evasión y sirve a la defensa: «bajo evasión severa simulada, el caso escala a rojo en X% de corridas y nunca baja de amarillo».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3.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Toda la batería de casos-frontera (§4) se comporta como se especifica, en particular «bandera pura en día temprano → rojo».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4.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El invariante duro nunca se viola: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ningún caso cierra en verde con evidencia insuficiente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en ninguna corrida.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8A6D0B"/>
          <w:sz w:val="18"/>
          <w:szCs w:val="18"/>
        </w:rPr>
        <w:t xml:space="preserve">[INFERENCIA] 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Nótese que el criterio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no incluye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un umbral de accuracy ni de precisión-verde. Esos se reportan y se optimizan como secundarios, pero 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no bloquean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coherente con el orden lexicográfico de §1.1. Una política que escala de más pero nunca pierde un rojo-claro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pasa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; una con mejor accuracy que pierde un rojo-claro, no.</w:t>
      </w:r>
    </w:p>
    <w:p>
      <w:pPr>
        <w:pBdr>
          <w:bottom w:val="single" w:color="BBBBBB" w:sz="6"/>
        </w:pBdr>
        <w:spacing w:after="60" w:before="60"/>
      </w:pPr>
      <w: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Fin del protocolo — Fase 1, punto 3 (cierre de fase). 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Al aprobarse, Fase 1 queda cerrada y habilita Fase 2 (implementación), con dos restricciones que bajan de aquí: la política como módulo puro importable, y la separación de canales dato/instrucción.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Tech Sphere Challenge 2026 — Luis A. Araque Ovalle    ·    </w:t>
    </w:r>
    <w:r>
      <w:rPr>
        <w:rFonts w:ascii="Calibri" w:cs="Calibri" w:eastAsia="Calibri" w:hAnsi="Calibri"/>
        <w:color w:val="555555"/>
        <w:sz w:val="16"/>
        <w:szCs w:val="16"/>
      </w:rPr>
      <w:t xml:space="preserve">Pág.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555555"/>
        <w:sz w:val="16"/>
        <w:szCs w:val="16"/>
      </w:rPr>
      <w:t xml:space="preserve">Protocolo de Validación · Fase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8"/>
      </w:pBdr>
      <w:spacing w:after="140" w:before="280"/>
    </w:pPr>
    <w:rPr>
      <w:rFonts w:ascii="Calibri" w:cs="Calibri" w:eastAsia="Calibri" w:hAnsi="Calibri"/>
      <w:b/>
      <w:bCs/>
      <w:color w:val="2C3E5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Protocolo de Validación — Fase 1</dc:title>
  <dc:creator>Luis A. Araque Ovalle</dc:creator>
  <dc:description>Tech Sphere Challenge 2026</dc:description>
  <cp:lastModifiedBy>Un-named</cp:lastModifiedBy>
  <cp:revision>1</cp:revision>
  <dcterms:created xsi:type="dcterms:W3CDTF">2026-08-08T08:56:41.995Z</dcterms:created>
  <dcterms:modified xsi:type="dcterms:W3CDTF">2026-08-08T08:56:41.995Z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