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623" w:rsidRDefault="002D2A79" w:rsidP="002D2A79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10  VV-ECMO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临床启动快速筛查评估表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10631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127"/>
        <w:gridCol w:w="1340"/>
        <w:gridCol w:w="1214"/>
        <w:gridCol w:w="142"/>
        <w:gridCol w:w="947"/>
        <w:gridCol w:w="1281"/>
        <w:gridCol w:w="40"/>
        <w:gridCol w:w="992"/>
        <w:gridCol w:w="260"/>
        <w:gridCol w:w="874"/>
        <w:gridCol w:w="219"/>
        <w:gridCol w:w="915"/>
        <w:gridCol w:w="425"/>
        <w:gridCol w:w="170"/>
        <w:gridCol w:w="45"/>
        <w:gridCol w:w="640"/>
      </w:tblGrid>
      <w:tr w:rsidR="001D7623" w:rsidTr="002D2A79">
        <w:tc>
          <w:tcPr>
            <w:tcW w:w="1127" w:type="dxa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5956" w:type="dxa"/>
            <w:gridSpan w:val="7"/>
            <w:shd w:val="clear" w:color="auto" w:fill="DAE9F7" w:themeFill="text2" w:themeFillTint="1A"/>
          </w:tcPr>
          <w:p w:rsidR="001D7623" w:rsidRDefault="001D7623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2414" w:type="dxa"/>
            <w:gridSpan w:val="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</w:tr>
      <w:tr w:rsidR="001D7623" w:rsidTr="002D2A79">
        <w:tc>
          <w:tcPr>
            <w:tcW w:w="1127" w:type="dxa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住院号</w:t>
            </w:r>
          </w:p>
        </w:tc>
        <w:tc>
          <w:tcPr>
            <w:tcW w:w="5956" w:type="dxa"/>
            <w:gridSpan w:val="7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评估时间</w:t>
            </w:r>
          </w:p>
        </w:tc>
        <w:tc>
          <w:tcPr>
            <w:tcW w:w="2414" w:type="dxa"/>
            <w:gridSpan w:val="6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1D7623" w:rsidTr="002D2A79">
        <w:tc>
          <w:tcPr>
            <w:tcW w:w="1127" w:type="dxa"/>
            <w:shd w:val="clear" w:color="auto" w:fill="FFFFFF" w:themeFill="background1"/>
            <w:vAlign w:val="center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呼吸支持</w:t>
            </w:r>
          </w:p>
        </w:tc>
        <w:tc>
          <w:tcPr>
            <w:tcW w:w="5956" w:type="dxa"/>
            <w:gridSpan w:val="7"/>
            <w:shd w:val="clear" w:color="auto" w:fill="FFFFFF" w:themeFill="background1"/>
            <w:vAlign w:val="center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气管插管</w:t>
            </w:r>
            <w:r>
              <w:rPr>
                <w:rFonts w:ascii="Times New Roman Regular" w:hAnsi="Times New Roman Regular" w:cs="Times New Roman Regular"/>
              </w:rPr>
              <w:t>(FiO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___% PEEP___ Pplat___ VT___mL RR___)</w:t>
            </w:r>
          </w:p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无创</w:t>
            </w:r>
            <w:r>
              <w:rPr>
                <w:rFonts w:ascii="Times New Roman Regular" w:hAnsi="Times New Roman Regular" w:cs="Times New Roman Regular"/>
              </w:rPr>
              <w:t>/HFNC  □</w:t>
            </w:r>
            <w:r>
              <w:rPr>
                <w:rFonts w:ascii="Times New Roman Regular" w:hAnsi="Times New Roman Regular" w:cs="Times New Roman Regular"/>
              </w:rPr>
              <w:t>已俯卧位（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已做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未做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禁忌）</w:t>
            </w:r>
          </w:p>
        </w:tc>
        <w:tc>
          <w:tcPr>
            <w:tcW w:w="1134" w:type="dxa"/>
            <w:gridSpan w:val="2"/>
            <w:shd w:val="clear" w:color="auto" w:fill="FFFFFF" w:themeFill="background1"/>
            <w:vAlign w:val="center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14" w:type="dxa"/>
            <w:gridSpan w:val="6"/>
            <w:shd w:val="clear" w:color="auto" w:fill="FFFFFF" w:themeFill="background1"/>
            <w:vAlign w:val="center"/>
          </w:tcPr>
          <w:p w:rsidR="001D7623" w:rsidRDefault="002D2A79" w:rsidP="002D2A79">
            <w:pPr>
              <w:snapToGrid w:val="0"/>
              <w:spacing w:after="0" w:line="240" w:lineRule="auto"/>
              <w:ind w:firstLineChars="300" w:firstLine="660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</w:tr>
      <w:tr w:rsidR="001D7623" w:rsidTr="002D2A79">
        <w:tc>
          <w:tcPr>
            <w:tcW w:w="10631" w:type="dxa"/>
            <w:gridSpan w:val="1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第一步：绝对禁忌筛查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任何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一项勾选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"→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不应启动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或需转换模式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</w:p>
        </w:tc>
      </w:tr>
      <w:tr w:rsidR="001D7623" w:rsidTr="002D2A79">
        <w:tc>
          <w:tcPr>
            <w:tcW w:w="9351" w:type="dxa"/>
            <w:gridSpan w:val="1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筛查项目</w:t>
            </w:r>
          </w:p>
        </w:tc>
        <w:tc>
          <w:tcPr>
            <w:tcW w:w="640" w:type="dxa"/>
            <w:gridSpan w:val="3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是</w:t>
            </w:r>
          </w:p>
        </w:tc>
        <w:tc>
          <w:tcPr>
            <w:tcW w:w="640" w:type="dxa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否</w:t>
            </w:r>
          </w:p>
        </w:tc>
      </w:tr>
      <w:tr w:rsidR="001D7623" w:rsidTr="002D2A79">
        <w:tc>
          <w:tcPr>
            <w:tcW w:w="9351" w:type="dxa"/>
            <w:gridSpan w:val="1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不可逆的呼吸衰竭终末期，且无肺移植指征（如终末期肺纤维化、晚期肺癌广泛肺破坏）</w:t>
            </w:r>
          </w:p>
        </w:tc>
        <w:tc>
          <w:tcPr>
            <w:tcW w:w="640" w:type="dxa"/>
            <w:gridSpan w:val="3"/>
            <w:shd w:val="clear" w:color="auto" w:fill="FFFFFF" w:themeFill="background1"/>
            <w:vAlign w:val="center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</w:p>
        </w:tc>
        <w:tc>
          <w:tcPr>
            <w:tcW w:w="640" w:type="dxa"/>
            <w:shd w:val="clear" w:color="auto" w:fill="FFFFFF" w:themeFill="background1"/>
            <w:vAlign w:val="center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</w:p>
        </w:tc>
      </w:tr>
      <w:tr w:rsidR="001D7623" w:rsidTr="002D2A79">
        <w:tc>
          <w:tcPr>
            <w:tcW w:w="9351" w:type="dxa"/>
            <w:gridSpan w:val="1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致命性活动性出血</w:t>
            </w:r>
          </w:p>
        </w:tc>
        <w:tc>
          <w:tcPr>
            <w:tcW w:w="640" w:type="dxa"/>
            <w:gridSpan w:val="3"/>
            <w:shd w:val="clear" w:color="auto" w:fill="FFFFFF" w:themeFill="background1"/>
            <w:vAlign w:val="center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640" w:type="dxa"/>
            <w:shd w:val="clear" w:color="auto" w:fill="FFFFFF" w:themeFill="background1"/>
            <w:vAlign w:val="center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1D7623" w:rsidTr="002D2A79">
        <w:tc>
          <w:tcPr>
            <w:tcW w:w="9351" w:type="dxa"/>
            <w:gridSpan w:val="1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严重活动性颅内出血</w:t>
            </w:r>
          </w:p>
        </w:tc>
        <w:tc>
          <w:tcPr>
            <w:tcW w:w="640" w:type="dxa"/>
            <w:gridSpan w:val="3"/>
            <w:shd w:val="clear" w:color="auto" w:fill="FFFFFF" w:themeFill="background1"/>
            <w:vAlign w:val="center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640" w:type="dxa"/>
            <w:shd w:val="clear" w:color="auto" w:fill="FFFFFF" w:themeFill="background1"/>
            <w:vAlign w:val="center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1D7623" w:rsidTr="002D2A79">
        <w:tc>
          <w:tcPr>
            <w:tcW w:w="9351" w:type="dxa"/>
            <w:gridSpan w:val="1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存在重度、不可逆的神经系统损伤（如脑死亡、重度缺氧性脑病已确诊不可逆）</w:t>
            </w:r>
          </w:p>
        </w:tc>
        <w:tc>
          <w:tcPr>
            <w:tcW w:w="640" w:type="dxa"/>
            <w:gridSpan w:val="3"/>
            <w:shd w:val="clear" w:color="auto" w:fill="FFFFFF" w:themeFill="background1"/>
            <w:vAlign w:val="center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640" w:type="dxa"/>
            <w:shd w:val="clear" w:color="auto" w:fill="FFFFFF" w:themeFill="background1"/>
            <w:vAlign w:val="center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1D7623" w:rsidTr="002D2A79">
        <w:tc>
          <w:tcPr>
            <w:tcW w:w="9351" w:type="dxa"/>
            <w:gridSpan w:val="1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合并难治性休克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心力衰竭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不应单独做</w:t>
            </w:r>
            <w:r>
              <w:rPr>
                <w:rFonts w:ascii="Times New Roman Regular" w:hAnsi="Times New Roman Regular" w:cs="Times New Roman Regular"/>
              </w:rPr>
              <w:t xml:space="preserve"> VV</w:t>
            </w:r>
            <w:r>
              <w:rPr>
                <w:rFonts w:ascii="Times New Roman Regular" w:hAnsi="Times New Roman Regular" w:cs="Times New Roman Regular"/>
              </w:rPr>
              <w:t>，应评估</w:t>
            </w:r>
            <w:r>
              <w:rPr>
                <w:rFonts w:ascii="Times New Roman Regular" w:hAnsi="Times New Roman Regular" w:cs="Times New Roman Regular"/>
              </w:rPr>
              <w:t>VA-ECMO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640" w:type="dxa"/>
            <w:gridSpan w:val="3"/>
            <w:shd w:val="clear" w:color="auto" w:fill="FFFFFF" w:themeFill="background1"/>
            <w:vAlign w:val="center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640" w:type="dxa"/>
            <w:shd w:val="clear" w:color="auto" w:fill="FFFFFF" w:themeFill="background1"/>
            <w:vAlign w:val="center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1D7623" w:rsidTr="002D2A79">
        <w:tc>
          <w:tcPr>
            <w:tcW w:w="10631" w:type="dxa"/>
            <w:gridSpan w:val="1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第二步：呼吸衰竭严重程度指标评估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D7623" w:rsidTr="002D2A79">
        <w:tc>
          <w:tcPr>
            <w:tcW w:w="10631" w:type="dxa"/>
            <w:gridSpan w:val="1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条件：已肺保护性通气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VT+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最佳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PEEP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）、肺复张、俯卧位通气，及神经肌肉阻滞剂，仍存以下情况之一</w:t>
            </w:r>
          </w:p>
        </w:tc>
      </w:tr>
      <w:tr w:rsidR="001D7623" w:rsidTr="002D2A79">
        <w:tc>
          <w:tcPr>
            <w:tcW w:w="10631" w:type="dxa"/>
            <w:gridSpan w:val="1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严重低氧血症（满足任意一项）</w:t>
            </w:r>
          </w:p>
        </w:tc>
      </w:tr>
      <w:tr w:rsidR="001D7623" w:rsidTr="002D2A79">
        <w:tc>
          <w:tcPr>
            <w:tcW w:w="6051" w:type="dxa"/>
            <w:gridSpan w:val="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3895" w:type="dxa"/>
            <w:gridSpan w:val="8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  <w:tc>
          <w:tcPr>
            <w:tcW w:w="685" w:type="dxa"/>
            <w:gridSpan w:val="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2D2A79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1D7623" w:rsidTr="002D2A79">
        <w:tc>
          <w:tcPr>
            <w:tcW w:w="6051" w:type="dxa"/>
            <w:gridSpan w:val="6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/FiO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&lt; 50 mmHg 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895" w:type="dxa"/>
            <w:gridSpan w:val="8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P/F = ____</w:t>
            </w:r>
          </w:p>
        </w:tc>
        <w:tc>
          <w:tcPr>
            <w:tcW w:w="685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D7623" w:rsidTr="002D2A79">
        <w:tc>
          <w:tcPr>
            <w:tcW w:w="6051" w:type="dxa"/>
            <w:gridSpan w:val="6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/FiO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&lt; 80 mmHg 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 xml:space="preserve"> &gt; 6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895" w:type="dxa"/>
            <w:gridSpan w:val="8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P/F = ____</w:t>
            </w:r>
          </w:p>
        </w:tc>
        <w:tc>
          <w:tcPr>
            <w:tcW w:w="685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D7623" w:rsidTr="002D2A79">
        <w:tc>
          <w:tcPr>
            <w:tcW w:w="10631" w:type="dxa"/>
            <w:gridSpan w:val="1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严重失代偿性呼吸性酸中毒</w:t>
            </w:r>
          </w:p>
        </w:tc>
      </w:tr>
      <w:tr w:rsidR="001D7623" w:rsidTr="002D2A79">
        <w:tc>
          <w:tcPr>
            <w:tcW w:w="6051" w:type="dxa"/>
            <w:gridSpan w:val="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3895" w:type="dxa"/>
            <w:gridSpan w:val="8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  <w:tc>
          <w:tcPr>
            <w:tcW w:w="685" w:type="dxa"/>
            <w:gridSpan w:val="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 w:rsidRPr="002D2A79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1D7623" w:rsidTr="002D2A79">
        <w:tc>
          <w:tcPr>
            <w:tcW w:w="6051" w:type="dxa"/>
            <w:gridSpan w:val="6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pH &lt; 7.25 </w:t>
            </w:r>
            <w:r>
              <w:rPr>
                <w:rFonts w:ascii="Times New Roman Regular" w:hAnsi="Times New Roman Regular" w:cs="Times New Roman Regular"/>
              </w:rPr>
              <w:t>且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&gt; 60 mmHg</w:t>
            </w:r>
            <w:r>
              <w:rPr>
                <w:rFonts w:ascii="Times New Roman Regular" w:hAnsi="Times New Roman Regular" w:cs="Times New Roman Regular"/>
              </w:rPr>
              <w:t>，持续</w:t>
            </w:r>
            <w:r>
              <w:rPr>
                <w:rFonts w:ascii="Times New Roman Regular" w:hAnsi="Times New Roman Regular" w:cs="Times New Roman Regular"/>
              </w:rPr>
              <w:t xml:space="preserve"> &gt; 6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895" w:type="dxa"/>
            <w:gridSpan w:val="8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pH____ / PaCO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685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D7623" w:rsidTr="002D2A79">
        <w:tc>
          <w:tcPr>
            <w:tcW w:w="6051" w:type="dxa"/>
            <w:gridSpan w:val="6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（此时</w:t>
            </w:r>
            <w:r>
              <w:rPr>
                <w:rFonts w:ascii="Times New Roman Regular" w:hAnsi="Times New Roman Regular" w:cs="Times New Roman Regular"/>
              </w:rPr>
              <w:t xml:space="preserve"> RR </w:t>
            </w:r>
            <w:r>
              <w:rPr>
                <w:rFonts w:ascii="Times New Roman Regular" w:hAnsi="Times New Roman Regular" w:cs="Times New Roman Regular"/>
              </w:rPr>
              <w:t>已调至</w:t>
            </w:r>
            <w:r>
              <w:rPr>
                <w:rFonts w:ascii="Times New Roman Regular" w:hAnsi="Times New Roman Regular" w:cs="Times New Roman Regular"/>
              </w:rPr>
              <w:t xml:space="preserve"> &gt; 35 </w:t>
            </w:r>
            <w:r>
              <w:rPr>
                <w:rFonts w:ascii="Times New Roman Regular" w:hAnsi="Times New Roman Regular" w:cs="Times New Roman Regular"/>
              </w:rPr>
              <w:t>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分，且</w:t>
            </w:r>
            <w:r>
              <w:rPr>
                <w:rFonts w:ascii="Times New Roman Regular" w:hAnsi="Times New Roman Regular" w:cs="Times New Roman Regular"/>
              </w:rPr>
              <w:t xml:space="preserve"> Pplat &gt; 30 cmH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895" w:type="dxa"/>
            <w:gridSpan w:val="8"/>
            <w:shd w:val="clear" w:color="auto" w:fill="FFFFFF" w:themeFill="background1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85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D7623" w:rsidTr="002D2A79">
        <w:tc>
          <w:tcPr>
            <w:tcW w:w="10631" w:type="dxa"/>
            <w:gridSpan w:val="1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高危气道压力损害</w:t>
            </w:r>
          </w:p>
        </w:tc>
      </w:tr>
      <w:tr w:rsidR="001D7623" w:rsidTr="002D2A79">
        <w:tc>
          <w:tcPr>
            <w:tcW w:w="9946" w:type="dxa"/>
            <w:gridSpan w:val="14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685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2D2A79">
              <w:rPr>
                <w:rFonts w:ascii="Segoe UI Symbol" w:hAnsi="Segoe UI Symbol" w:cs="Times New Roman Regular"/>
              </w:rPr>
              <w:t>✓</w:t>
            </w:r>
          </w:p>
        </w:tc>
      </w:tr>
      <w:tr w:rsidR="001D7623" w:rsidTr="002D2A79">
        <w:tc>
          <w:tcPr>
            <w:tcW w:w="9946" w:type="dxa"/>
            <w:gridSpan w:val="14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机械通气导致严重肺泡气压伤（复发性气胸、纵隔气肿），且无法降低通气参数</w:t>
            </w:r>
          </w:p>
        </w:tc>
        <w:tc>
          <w:tcPr>
            <w:tcW w:w="685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D7623" w:rsidTr="002D2A79">
        <w:tc>
          <w:tcPr>
            <w:tcW w:w="10631" w:type="dxa"/>
            <w:gridSpan w:val="1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2.4 Murray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肺损伤评分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≥ 3.0</w:t>
            </w:r>
          </w:p>
        </w:tc>
      </w:tr>
      <w:tr w:rsidR="001D7623" w:rsidTr="002D2A79">
        <w:tc>
          <w:tcPr>
            <w:tcW w:w="2467" w:type="dxa"/>
            <w:gridSpan w:val="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Murray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评分四要素</w:t>
            </w:r>
          </w:p>
        </w:tc>
        <w:tc>
          <w:tcPr>
            <w:tcW w:w="1214" w:type="dxa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0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</w:t>
            </w:r>
          </w:p>
        </w:tc>
        <w:tc>
          <w:tcPr>
            <w:tcW w:w="1089" w:type="dxa"/>
            <w:gridSpan w:val="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</w:t>
            </w:r>
          </w:p>
        </w:tc>
        <w:tc>
          <w:tcPr>
            <w:tcW w:w="1321" w:type="dxa"/>
            <w:gridSpan w:val="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</w:t>
            </w:r>
          </w:p>
        </w:tc>
        <w:tc>
          <w:tcPr>
            <w:tcW w:w="1252" w:type="dxa"/>
            <w:gridSpan w:val="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</w:t>
            </w:r>
          </w:p>
        </w:tc>
        <w:tc>
          <w:tcPr>
            <w:tcW w:w="1093" w:type="dxa"/>
            <w:gridSpan w:val="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</w:t>
            </w:r>
          </w:p>
        </w:tc>
        <w:tc>
          <w:tcPr>
            <w:tcW w:w="1340" w:type="dxa"/>
            <w:gridSpan w:val="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  <w:tc>
          <w:tcPr>
            <w:tcW w:w="855" w:type="dxa"/>
            <w:gridSpan w:val="3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1D7623" w:rsidTr="002D2A79">
        <w:tc>
          <w:tcPr>
            <w:tcW w:w="2467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/FiO</w:t>
            </w:r>
            <w:r w:rsidRPr="002D2A79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1214" w:type="dxa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≥300</w:t>
            </w:r>
          </w:p>
        </w:tc>
        <w:tc>
          <w:tcPr>
            <w:tcW w:w="1089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225-299</w:t>
            </w:r>
          </w:p>
        </w:tc>
        <w:tc>
          <w:tcPr>
            <w:tcW w:w="1321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175-224</w:t>
            </w:r>
          </w:p>
        </w:tc>
        <w:tc>
          <w:tcPr>
            <w:tcW w:w="1252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100-174</w:t>
            </w:r>
          </w:p>
        </w:tc>
        <w:tc>
          <w:tcPr>
            <w:tcW w:w="1093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&lt;100</w:t>
            </w:r>
          </w:p>
        </w:tc>
        <w:tc>
          <w:tcPr>
            <w:tcW w:w="1340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55" w:type="dxa"/>
            <w:gridSpan w:val="3"/>
            <w:shd w:val="clear" w:color="auto" w:fill="FFFFFF" w:themeFill="background1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D7623" w:rsidTr="002D2A79">
        <w:tc>
          <w:tcPr>
            <w:tcW w:w="2467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胸片（象限浸润数）</w:t>
            </w:r>
          </w:p>
        </w:tc>
        <w:tc>
          <w:tcPr>
            <w:tcW w:w="1214" w:type="dxa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1089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1321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1252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1093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1340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象限</w:t>
            </w:r>
          </w:p>
        </w:tc>
        <w:tc>
          <w:tcPr>
            <w:tcW w:w="855" w:type="dxa"/>
            <w:gridSpan w:val="3"/>
            <w:shd w:val="clear" w:color="auto" w:fill="FFFFFF" w:themeFill="background1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D7623" w:rsidTr="002D2A79">
        <w:tc>
          <w:tcPr>
            <w:tcW w:w="2467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PEEP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cmH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14" w:type="dxa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≤5</w:t>
            </w:r>
          </w:p>
        </w:tc>
        <w:tc>
          <w:tcPr>
            <w:tcW w:w="1089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6-8</w:t>
            </w:r>
          </w:p>
        </w:tc>
        <w:tc>
          <w:tcPr>
            <w:tcW w:w="1321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9-11</w:t>
            </w:r>
          </w:p>
        </w:tc>
        <w:tc>
          <w:tcPr>
            <w:tcW w:w="1252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12-14</w:t>
            </w:r>
          </w:p>
        </w:tc>
        <w:tc>
          <w:tcPr>
            <w:tcW w:w="1093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≥15</w:t>
            </w:r>
          </w:p>
        </w:tc>
        <w:tc>
          <w:tcPr>
            <w:tcW w:w="1340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55" w:type="dxa"/>
            <w:gridSpan w:val="3"/>
            <w:shd w:val="clear" w:color="auto" w:fill="FFFFFF" w:themeFill="background1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D7623" w:rsidTr="002D2A79">
        <w:tc>
          <w:tcPr>
            <w:tcW w:w="2467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顺应性（</w:t>
            </w:r>
            <w:r>
              <w:rPr>
                <w:rFonts w:ascii="Times New Roman Regular" w:hAnsi="Times New Roman Regular" w:cs="Times New Roman Regular"/>
              </w:rPr>
              <w:t>mL/cmH</w:t>
            </w:r>
            <w:r w:rsidRPr="002D2A79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14" w:type="dxa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≥80</w:t>
            </w:r>
          </w:p>
        </w:tc>
        <w:tc>
          <w:tcPr>
            <w:tcW w:w="1089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60-79</w:t>
            </w:r>
          </w:p>
        </w:tc>
        <w:tc>
          <w:tcPr>
            <w:tcW w:w="1321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40-59</w:t>
            </w:r>
          </w:p>
        </w:tc>
        <w:tc>
          <w:tcPr>
            <w:tcW w:w="1252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20-39</w:t>
            </w:r>
          </w:p>
        </w:tc>
        <w:tc>
          <w:tcPr>
            <w:tcW w:w="1093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≤19</w:t>
            </w:r>
          </w:p>
        </w:tc>
        <w:tc>
          <w:tcPr>
            <w:tcW w:w="1340" w:type="dxa"/>
            <w:gridSpan w:val="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55" w:type="dxa"/>
            <w:gridSpan w:val="3"/>
            <w:shd w:val="clear" w:color="auto" w:fill="FFFFFF" w:themeFill="background1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D7623" w:rsidTr="002D2A79">
        <w:tc>
          <w:tcPr>
            <w:tcW w:w="4770" w:type="dxa"/>
            <w:gridSpan w:val="5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Murray </w:t>
            </w:r>
            <w:r>
              <w:rPr>
                <w:rFonts w:ascii="Times New Roman Regular" w:hAnsi="Times New Roman Regular" w:cs="Times New Roman Regular"/>
              </w:rPr>
              <w:t>总分</w:t>
            </w:r>
            <w:r>
              <w:rPr>
                <w:rFonts w:ascii="Times New Roman Regular" w:hAnsi="Times New Roman Regular" w:cs="Times New Roman Regular"/>
              </w:rPr>
              <w:t xml:space="preserve"> = (</w:t>
            </w:r>
            <w:r>
              <w:rPr>
                <w:rFonts w:ascii="Times New Roman Regular" w:hAnsi="Times New Roman Regular" w:cs="Times New Roman Regular"/>
              </w:rPr>
              <w:t>四项之和</w:t>
            </w:r>
            <w:r>
              <w:rPr>
                <w:rFonts w:ascii="Times New Roman Regular" w:hAnsi="Times New Roman Regular" w:cs="Times New Roman Regular"/>
              </w:rPr>
              <w:t xml:space="preserve">) ÷ 4 ____ </w:t>
            </w:r>
            <w:r>
              <w:rPr>
                <w:rFonts w:ascii="Times New Roman Regular" w:hAnsi="Times New Roman Regular" w:cs="Times New Roman Regular"/>
              </w:rPr>
              <w:t>分</w:t>
            </w:r>
            <w:r>
              <w:rPr>
                <w:rFonts w:ascii="Times New Roman Regular" w:hAnsi="Times New Roman Regular" w:cs="Times New Roman Regular"/>
              </w:rPr>
              <w:t xml:space="preserve">           </w:t>
            </w:r>
          </w:p>
        </w:tc>
        <w:tc>
          <w:tcPr>
            <w:tcW w:w="5861" w:type="dxa"/>
            <w:gridSpan w:val="11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Murray ≥ 3.0</w:t>
            </w:r>
            <w:r>
              <w:rPr>
                <w:rFonts w:ascii="Times New Roman Regular" w:hAnsi="Times New Roman Regular" w:cs="Times New Roman Regular"/>
              </w:rPr>
              <w:t>？</w:t>
            </w:r>
            <w:r>
              <w:rPr>
                <w:rFonts w:ascii="Times New Roman Regular" w:hAnsi="Times New Roman Regular" w:cs="Times New Roman Regular"/>
              </w:rPr>
              <w:t xml:space="preserve">  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</w:tr>
      <w:tr w:rsidR="001D7623" w:rsidTr="002D2A79">
        <w:tc>
          <w:tcPr>
            <w:tcW w:w="10631" w:type="dxa"/>
            <w:gridSpan w:val="1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快速恶化预警（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还没到标准但快了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D7623" w:rsidTr="002D2A79">
        <w:tc>
          <w:tcPr>
            <w:tcW w:w="10631" w:type="dxa"/>
            <w:gridSpan w:val="16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如未完全达上述标准，但病情快速恶化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如过去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小时</w:t>
            </w:r>
            <w:r>
              <w:rPr>
                <w:rFonts w:ascii="Times New Roman Regular" w:hAnsi="Times New Roman Regular" w:cs="Times New Roman Regular"/>
              </w:rPr>
              <w:t>P/F</w:t>
            </w:r>
            <w:r>
              <w:rPr>
                <w:rFonts w:ascii="Times New Roman Regular" w:hAnsi="Times New Roman Regular" w:cs="Times New Roman Regular"/>
              </w:rPr>
              <w:t>从</w:t>
            </w:r>
            <w:r>
              <w:rPr>
                <w:rFonts w:ascii="Times New Roman Regular" w:hAnsi="Times New Roman Regular" w:cs="Times New Roman Regular"/>
              </w:rPr>
              <w:t>120→70</w:t>
            </w:r>
            <w:r>
              <w:rPr>
                <w:rFonts w:ascii="Times New Roman Regular" w:hAnsi="Times New Roman Regular" w:cs="Times New Roman Regular"/>
              </w:rPr>
              <w:t>，或</w:t>
            </w:r>
            <w:r>
              <w:rPr>
                <w:rFonts w:ascii="Times New Roman Regular" w:hAnsi="Times New Roman Regular" w:cs="Times New Roman Regular"/>
              </w:rPr>
              <w:t>pH</w:t>
            </w:r>
            <w:r>
              <w:rPr>
                <w:rFonts w:ascii="Times New Roman Regular" w:hAnsi="Times New Roman Regular" w:cs="Times New Roman Regular"/>
              </w:rPr>
              <w:t>从</w:t>
            </w:r>
            <w:r>
              <w:rPr>
                <w:rFonts w:ascii="Times New Roman Regular" w:hAnsi="Times New Roman Regular" w:cs="Times New Roman Regular"/>
              </w:rPr>
              <w:t>7.30→7.22)→</w:t>
            </w:r>
            <w:r>
              <w:rPr>
                <w:rFonts w:ascii="Times New Roman Regular" w:hAnsi="Times New Roman Regular" w:cs="Times New Roman Regular"/>
              </w:rPr>
              <w:t>早启动</w:t>
            </w:r>
            <w:r>
              <w:rPr>
                <w:rFonts w:ascii="Times New Roman Regular" w:hAnsi="Times New Roman Regular" w:cs="Times New Roman Regular"/>
              </w:rPr>
              <w:t xml:space="preserve"> MDT</w:t>
            </w:r>
          </w:p>
        </w:tc>
      </w:tr>
      <w:tr w:rsidR="001D7623" w:rsidTr="002D2A79">
        <w:tc>
          <w:tcPr>
            <w:tcW w:w="10631" w:type="dxa"/>
            <w:gridSpan w:val="16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2.6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清醒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策略评估</w:t>
            </w:r>
          </w:p>
        </w:tc>
      </w:tr>
      <w:tr w:rsidR="001D7623" w:rsidTr="002D2A79">
        <w:tc>
          <w:tcPr>
            <w:tcW w:w="3823" w:type="dxa"/>
            <w:gridSpan w:val="4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6808" w:type="dxa"/>
            <w:gridSpan w:val="12"/>
            <w:shd w:val="clear" w:color="auto" w:fill="DAE9F7" w:themeFill="text2" w:themeFillTint="1A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回答</w:t>
            </w:r>
          </w:p>
        </w:tc>
      </w:tr>
      <w:tr w:rsidR="001D7623" w:rsidTr="002D2A79">
        <w:tc>
          <w:tcPr>
            <w:tcW w:w="3823" w:type="dxa"/>
            <w:gridSpan w:val="4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患者当前是否清醒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可保留自主呼吸？</w:t>
            </w:r>
          </w:p>
        </w:tc>
        <w:tc>
          <w:tcPr>
            <w:tcW w:w="6808" w:type="dxa"/>
            <w:gridSpan w:val="12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优先考虑清醒</w:t>
            </w:r>
            <w:r>
              <w:rPr>
                <w:rFonts w:ascii="Times New Roman Regular" w:hAnsi="Times New Roman Regular" w:cs="Times New Roman Regular"/>
              </w:rPr>
              <w:t xml:space="preserve"> ECMO(</w:t>
            </w:r>
            <w:r>
              <w:rPr>
                <w:rFonts w:ascii="Times New Roman Regular" w:hAnsi="Times New Roman Regular" w:cs="Times New Roman Regular"/>
              </w:rPr>
              <w:t>避免插管</w:t>
            </w:r>
            <w:r>
              <w:rPr>
                <w:rFonts w:ascii="Times New Roman Regular" w:hAnsi="Times New Roman Regular" w:cs="Times New Roman Regular"/>
              </w:rPr>
              <w:t>)  □</w:t>
            </w:r>
            <w:r>
              <w:rPr>
                <w:rFonts w:ascii="Times New Roman Regular" w:hAnsi="Times New Roman Regular" w:cs="Times New Roman Regular"/>
              </w:rPr>
              <w:t>否（已插管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意识障碍）</w:t>
            </w:r>
          </w:p>
        </w:tc>
      </w:tr>
      <w:tr w:rsidR="001D7623" w:rsidTr="002D2A79">
        <w:tc>
          <w:tcPr>
            <w:tcW w:w="3823" w:type="dxa"/>
            <w:gridSpan w:val="4"/>
            <w:shd w:val="clear" w:color="auto" w:fill="FFFFFF" w:themeFill="background1"/>
          </w:tcPr>
          <w:p w:rsidR="001D7623" w:rsidRDefault="001D7623" w:rsidP="002D2A79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808" w:type="dxa"/>
            <w:gridSpan w:val="12"/>
            <w:shd w:val="clear" w:color="auto" w:fill="FFFFFF" w:themeFill="background1"/>
          </w:tcPr>
          <w:p w:rsidR="001D7623" w:rsidRDefault="001D7623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1D7623" w:rsidTr="002D2A79">
        <w:tc>
          <w:tcPr>
            <w:tcW w:w="10631" w:type="dxa"/>
            <w:gridSpan w:val="16"/>
            <w:shd w:val="clear" w:color="auto" w:fill="FFFFFF" w:themeFill="background1"/>
          </w:tcPr>
          <w:p w:rsidR="001D7623" w:rsidRDefault="002D2A79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清醒</w:t>
            </w:r>
            <w:r>
              <w:rPr>
                <w:rFonts w:ascii="Times New Roman Regular" w:hAnsi="Times New Roman Regular" w:cs="Times New Roman Regular"/>
              </w:rPr>
              <w:t xml:space="preserve"> VV-ECMO </w:t>
            </w:r>
            <w:r>
              <w:rPr>
                <w:rFonts w:ascii="Times New Roman Regular" w:hAnsi="Times New Roman Regular" w:cs="Times New Roman Regular"/>
              </w:rPr>
              <w:t>可避免镇静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插管相关并发症，保留膈肌功能，是年轻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非衰弱患者的优选策略。</w:t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1A75D5" w:rsidTr="002D2A79">
        <w:tc>
          <w:tcPr>
            <w:tcW w:w="10631" w:type="dxa"/>
            <w:gridSpan w:val="16"/>
            <w:shd w:val="clear" w:color="auto" w:fill="FFFFFF" w:themeFill="background1"/>
          </w:tcPr>
          <w:p w:rsidR="001A75D5" w:rsidRDefault="001A75D5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1A75D5" w:rsidTr="002D2A79">
        <w:tc>
          <w:tcPr>
            <w:tcW w:w="10631" w:type="dxa"/>
            <w:gridSpan w:val="16"/>
            <w:shd w:val="clear" w:color="auto" w:fill="FFFFFF" w:themeFill="background1"/>
          </w:tcPr>
          <w:p w:rsidR="001A75D5" w:rsidRDefault="001A75D5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1A75D5" w:rsidTr="002D2A79">
        <w:tc>
          <w:tcPr>
            <w:tcW w:w="10631" w:type="dxa"/>
            <w:gridSpan w:val="16"/>
            <w:shd w:val="clear" w:color="auto" w:fill="FFFFFF" w:themeFill="background1"/>
          </w:tcPr>
          <w:p w:rsidR="001A75D5" w:rsidRDefault="001A75D5" w:rsidP="002D2A79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:rsidR="001D7623" w:rsidRDefault="002D2A79" w:rsidP="002D2A79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RESP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Schmidt et al. 2013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Combes et al. 2025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1D7623" w:rsidRDefault="002D2A79" w:rsidP="002D2A79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启动前的快速四步评估，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5-10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分钟内完成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1D7623" w:rsidRDefault="002D2A79" w:rsidP="002D2A79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16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RESP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24-30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监测管理）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1D7623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4A8" w:rsidRDefault="009854A8">
      <w:pPr>
        <w:spacing w:line="240" w:lineRule="auto"/>
      </w:pPr>
      <w:r>
        <w:separator/>
      </w:r>
    </w:p>
  </w:endnote>
  <w:endnote w:type="continuationSeparator" w:id="0">
    <w:p w:rsidR="009854A8" w:rsidRDefault="009854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4A8" w:rsidRDefault="009854A8">
      <w:pPr>
        <w:spacing w:after="0"/>
      </w:pPr>
      <w:r>
        <w:separator/>
      </w:r>
    </w:p>
  </w:footnote>
  <w:footnote w:type="continuationSeparator" w:id="0">
    <w:p w:rsidR="009854A8" w:rsidRDefault="009854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FD5" w:rsidRDefault="002D2A79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10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CC5C1A2E"/>
    <w:rsid w:val="EAFD175D"/>
    <w:rsid w:val="FFEE89FB"/>
    <w:rsid w:val="00005837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5D5"/>
    <w:rsid w:val="001A78EF"/>
    <w:rsid w:val="001B1825"/>
    <w:rsid w:val="001D1B7A"/>
    <w:rsid w:val="001D2CF1"/>
    <w:rsid w:val="001D7623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D2A79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5352E"/>
    <w:rsid w:val="00595CB4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4A6B"/>
    <w:rsid w:val="00710FD5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854A8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81D84"/>
    <w:rsid w:val="00D91D9F"/>
    <w:rsid w:val="00DB4331"/>
    <w:rsid w:val="00DB6683"/>
    <w:rsid w:val="00DD6637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535B1"/>
    <w:rsid w:val="00F86675"/>
    <w:rsid w:val="00FA4B05"/>
    <w:rsid w:val="00FA7959"/>
    <w:rsid w:val="00FE27BD"/>
    <w:rsid w:val="00FF74FF"/>
    <w:rsid w:val="147F3DC3"/>
    <w:rsid w:val="6F7FD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784</Words>
  <Characters>1187</Characters>
  <Application>Microsoft Office Word</Application>
  <DocSecurity>0</DocSecurity>
  <Lines>120</Lines>
  <Paragraphs>100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2026-10-08T13:00:00Z</dcterms:created>
  <dcterms:modified xsi:type="dcterms:W3CDTF">2026-10-08T13:00:00Z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264358328B9A431B8A40BBD2D8654384_12</vt:lpwstr>
  </property>
</Properties>
</file>