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D15A3" w14:textId="77777777" w:rsidR="00FF227E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</w:rPr>
        <w:t>12  ECPR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</w:rPr>
        <w:t>（体外心肺复苏）专项流程：适应症与禁忌症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9"/>
        <w:gridCol w:w="6945"/>
        <w:gridCol w:w="822"/>
      </w:tblGrid>
      <w:tr w:rsidR="00FF227E" w14:paraId="341C4562" w14:textId="77777777">
        <w:tc>
          <w:tcPr>
            <w:tcW w:w="10456" w:type="dxa"/>
            <w:gridSpan w:val="3"/>
            <w:shd w:val="clear" w:color="auto" w:fill="DAE9F7" w:themeFill="text2" w:themeFillTint="1A"/>
          </w:tcPr>
          <w:p w14:paraId="2B13DD44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一、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启动标准</w:t>
            </w:r>
          </w:p>
        </w:tc>
      </w:tr>
      <w:tr w:rsidR="00FF227E" w14:paraId="4B7896AD" w14:textId="77777777">
        <w:tc>
          <w:tcPr>
            <w:tcW w:w="10456" w:type="dxa"/>
            <w:gridSpan w:val="3"/>
          </w:tcPr>
          <w:p w14:paraId="3B9E859C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 xml:space="preserve">1.1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纳入标准（必须全部满足）</w:t>
            </w:r>
          </w:p>
        </w:tc>
      </w:tr>
      <w:tr w:rsidR="00FF227E" w14:paraId="13630372" w14:textId="77777777" w:rsidTr="00C17F2D">
        <w:tc>
          <w:tcPr>
            <w:tcW w:w="2689" w:type="dxa"/>
            <w:shd w:val="clear" w:color="auto" w:fill="DAE9F7" w:themeFill="text2" w:themeFillTint="1A"/>
          </w:tcPr>
          <w:p w14:paraId="6C393EFD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标准</w:t>
            </w:r>
          </w:p>
        </w:tc>
        <w:tc>
          <w:tcPr>
            <w:tcW w:w="6945" w:type="dxa"/>
            <w:shd w:val="clear" w:color="auto" w:fill="DAE9F7" w:themeFill="text2" w:themeFillTint="1A"/>
          </w:tcPr>
          <w:p w14:paraId="6B326F70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具体内容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14:paraId="08E9FB86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✓</w:t>
            </w:r>
          </w:p>
        </w:tc>
      </w:tr>
      <w:tr w:rsidR="00FF227E" w14:paraId="3D9B26DF" w14:textId="77777777" w:rsidTr="00C17F2D">
        <w:tc>
          <w:tcPr>
            <w:tcW w:w="2689" w:type="dxa"/>
          </w:tcPr>
          <w:p w14:paraId="5887F5FE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6945" w:type="dxa"/>
          </w:tcPr>
          <w:p w14:paraId="72F4F959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18-70</w:t>
            </w:r>
            <w:r>
              <w:rPr>
                <w:rFonts w:ascii="Times New Roman Regular" w:hAnsi="Times New Roman Regular" w:cs="Times New Roman Regular"/>
              </w:rPr>
              <w:t>岁（相对标准，</w:t>
            </w:r>
            <w:r>
              <w:rPr>
                <w:rFonts w:ascii="Times New Roman Regular" w:hAnsi="Times New Roman Regular" w:cs="Times New Roman Regular"/>
              </w:rPr>
              <w:t>&gt;70</w:t>
            </w:r>
            <w:r>
              <w:rPr>
                <w:rFonts w:ascii="Times New Roman Regular" w:hAnsi="Times New Roman Regular" w:cs="Times New Roman Regular"/>
              </w:rPr>
              <w:t>需个体化评估）</w:t>
            </w:r>
          </w:p>
        </w:tc>
        <w:tc>
          <w:tcPr>
            <w:tcW w:w="822" w:type="dxa"/>
          </w:tcPr>
          <w:p w14:paraId="3B0EB0A3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14:paraId="003D2B6E" w14:textId="77777777" w:rsidTr="00C17F2D">
        <w:tc>
          <w:tcPr>
            <w:tcW w:w="2689" w:type="dxa"/>
          </w:tcPr>
          <w:p w14:paraId="042F01B2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初始心律</w:t>
            </w:r>
          </w:p>
        </w:tc>
        <w:tc>
          <w:tcPr>
            <w:tcW w:w="6945" w:type="dxa"/>
          </w:tcPr>
          <w:p w14:paraId="1A60C47C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可电击心律（</w:t>
            </w:r>
            <w:r>
              <w:rPr>
                <w:rFonts w:ascii="Times New Roman Regular" w:hAnsi="Times New Roman Regular" w:cs="Times New Roman Regular"/>
              </w:rPr>
              <w:t>VT/VF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优先级最高；</w:t>
            </w:r>
            <w:r>
              <w:rPr>
                <w:rFonts w:ascii="Times New Roman Regular" w:hAnsi="Times New Roman Regular" w:cs="Times New Roman Regular"/>
              </w:rPr>
              <w:t>PEA/</w:t>
            </w:r>
            <w:r>
              <w:rPr>
                <w:rFonts w:ascii="Times New Roman Regular" w:hAnsi="Times New Roman Regular" w:cs="Times New Roman Regular"/>
              </w:rPr>
              <w:t>心搏停止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需更严格评估</w:t>
            </w:r>
          </w:p>
        </w:tc>
        <w:tc>
          <w:tcPr>
            <w:tcW w:w="822" w:type="dxa"/>
          </w:tcPr>
          <w:p w14:paraId="0D5E9314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14:paraId="6CC03711" w14:textId="77777777" w:rsidTr="00C17F2D">
        <w:tc>
          <w:tcPr>
            <w:tcW w:w="2689" w:type="dxa"/>
          </w:tcPr>
          <w:p w14:paraId="45B7C12D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目击心跳骤停</w:t>
            </w:r>
          </w:p>
        </w:tc>
        <w:tc>
          <w:tcPr>
            <w:tcW w:w="6945" w:type="dxa"/>
          </w:tcPr>
          <w:p w14:paraId="357AA741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有目击者，或已知心脏骤停时间在</w:t>
            </w:r>
            <w:r>
              <w:rPr>
                <w:rFonts w:ascii="Times New Roman Regular" w:hAnsi="Times New Roman Regular" w:cs="Times New Roman Regular"/>
              </w:rPr>
              <w:t xml:space="preserve"> 5-10 </w:t>
            </w:r>
            <w:r>
              <w:rPr>
                <w:rFonts w:ascii="Times New Roman Regular" w:hAnsi="Times New Roman Regular" w:cs="Times New Roman Regular"/>
              </w:rPr>
              <w:t>分钟内</w:t>
            </w:r>
          </w:p>
        </w:tc>
        <w:tc>
          <w:tcPr>
            <w:tcW w:w="822" w:type="dxa"/>
          </w:tcPr>
          <w:p w14:paraId="3D6F2A8D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14:paraId="36211F06" w14:textId="77777777" w:rsidTr="00C17F2D">
        <w:tc>
          <w:tcPr>
            <w:tcW w:w="2689" w:type="dxa"/>
          </w:tcPr>
          <w:p w14:paraId="250D6AD5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旁观者</w:t>
            </w:r>
            <w:r>
              <w:rPr>
                <w:rFonts w:ascii="Times New Roman Regular" w:hAnsi="Times New Roman Regular" w:cs="Times New Roman Regular"/>
              </w:rPr>
              <w:t xml:space="preserve"> CPR</w:t>
            </w:r>
          </w:p>
        </w:tc>
        <w:tc>
          <w:tcPr>
            <w:tcW w:w="6945" w:type="dxa"/>
          </w:tcPr>
          <w:p w14:paraId="0EC83756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有即刻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早期</w:t>
            </w:r>
            <w:r>
              <w:rPr>
                <w:rFonts w:ascii="Times New Roman Regular" w:hAnsi="Times New Roman Regular" w:cs="Times New Roman Regular"/>
              </w:rPr>
              <w:t xml:space="preserve"> bystander CPR</w:t>
            </w:r>
          </w:p>
        </w:tc>
        <w:tc>
          <w:tcPr>
            <w:tcW w:w="822" w:type="dxa"/>
          </w:tcPr>
          <w:p w14:paraId="31FF9C6F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14:paraId="0A285BF9" w14:textId="77777777" w:rsidTr="00C17F2D">
        <w:tc>
          <w:tcPr>
            <w:tcW w:w="2689" w:type="dxa"/>
          </w:tcPr>
          <w:p w14:paraId="2FAFF4B5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无灌流时间</w:t>
            </w:r>
          </w:p>
        </w:tc>
        <w:tc>
          <w:tcPr>
            <w:tcW w:w="6945" w:type="dxa"/>
          </w:tcPr>
          <w:p w14:paraId="0C4BA131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&lt; 5</w:t>
            </w:r>
            <w:r>
              <w:rPr>
                <w:rFonts w:ascii="Times New Roman Regular" w:hAnsi="Times New Roman Regular" w:cs="Times New Roman Regular"/>
              </w:rPr>
              <w:t>分钟（理想</w:t>
            </w:r>
            <w:r>
              <w:rPr>
                <w:rFonts w:ascii="Times New Roman Regular" w:hAnsi="Times New Roman Regular" w:cs="Times New Roman Regular"/>
              </w:rPr>
              <w:t xml:space="preserve"> &lt; 3 </w:t>
            </w:r>
            <w:r>
              <w:rPr>
                <w:rFonts w:ascii="Times New Roman Regular" w:hAnsi="Times New Roman Regular" w:cs="Times New Roman Regular"/>
              </w:rPr>
              <w:t>分钟）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没有</w:t>
            </w:r>
            <w:r>
              <w:rPr>
                <w:rFonts w:ascii="Times New Roman Regular" w:hAnsi="Times New Roman Regular" w:cs="Times New Roman Regular"/>
              </w:rPr>
              <w:t>CPR</w:t>
            </w:r>
            <w:r>
              <w:rPr>
                <w:rFonts w:ascii="Times New Roman Regular" w:hAnsi="Times New Roman Regular" w:cs="Times New Roman Regular"/>
              </w:rPr>
              <w:t>的时间</w:t>
            </w:r>
          </w:p>
        </w:tc>
        <w:tc>
          <w:tcPr>
            <w:tcW w:w="822" w:type="dxa"/>
          </w:tcPr>
          <w:p w14:paraId="4C739BAF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14:paraId="631CF380" w14:textId="77777777" w:rsidTr="00C17F2D">
        <w:tc>
          <w:tcPr>
            <w:tcW w:w="2689" w:type="dxa"/>
          </w:tcPr>
          <w:p w14:paraId="495D194D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低灌流时间</w:t>
            </w:r>
          </w:p>
        </w:tc>
        <w:tc>
          <w:tcPr>
            <w:tcW w:w="6945" w:type="dxa"/>
          </w:tcPr>
          <w:p w14:paraId="13A08182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CPR </w:t>
            </w:r>
            <w:r>
              <w:rPr>
                <w:rFonts w:ascii="Times New Roman Regular" w:hAnsi="Times New Roman Regular" w:cs="Times New Roman Regular"/>
              </w:rPr>
              <w:t>持续时间（从</w:t>
            </w:r>
            <w:r>
              <w:rPr>
                <w:rFonts w:ascii="Times New Roman Regular" w:hAnsi="Times New Roman Regular" w:cs="Times New Roman Regular"/>
              </w:rPr>
              <w:t xml:space="preserve"> CPR </w:t>
            </w:r>
            <w:r>
              <w:rPr>
                <w:rFonts w:ascii="Times New Roman Regular" w:hAnsi="Times New Roman Regular" w:cs="Times New Roman Regular"/>
              </w:rPr>
              <w:t>开始到</w:t>
            </w:r>
            <w:r>
              <w:rPr>
                <w:rFonts w:ascii="Times New Roman Regular" w:hAnsi="Times New Roman Regular" w:cs="Times New Roman Regular"/>
              </w:rPr>
              <w:t xml:space="preserve"> ECMO</w:t>
            </w:r>
            <w:r>
              <w:rPr>
                <w:rFonts w:ascii="Times New Roman Regular" w:hAnsi="Times New Roman Regular" w:cs="Times New Roman Regular"/>
              </w:rPr>
              <w:t>转流）</w:t>
            </w:r>
            <w:r>
              <w:rPr>
                <w:rFonts w:ascii="Times New Roman Regular" w:hAnsi="Times New Roman Regular" w:cs="Times New Roman Regular"/>
              </w:rPr>
              <w:t>&lt; 60</w:t>
            </w:r>
            <w:r>
              <w:rPr>
                <w:rFonts w:ascii="Times New Roman Regular" w:hAnsi="Times New Roman Regular" w:cs="Times New Roman Regular"/>
              </w:rPr>
              <w:t>分钟</w:t>
            </w:r>
          </w:p>
        </w:tc>
        <w:tc>
          <w:tcPr>
            <w:tcW w:w="822" w:type="dxa"/>
          </w:tcPr>
          <w:p w14:paraId="0F95063C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14:paraId="421EE67A" w14:textId="77777777" w:rsidTr="00C17F2D">
        <w:tc>
          <w:tcPr>
            <w:tcW w:w="2689" w:type="dxa"/>
          </w:tcPr>
          <w:p w14:paraId="68B66F2E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可逆病因</w:t>
            </w:r>
          </w:p>
        </w:tc>
        <w:tc>
          <w:tcPr>
            <w:tcW w:w="6945" w:type="dxa"/>
          </w:tcPr>
          <w:p w14:paraId="39D43751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存在可逆的心跳骤停原因（见</w:t>
            </w:r>
            <w:r>
              <w:rPr>
                <w:rFonts w:ascii="Times New Roman Regular" w:hAnsi="Times New Roman Regular" w:cs="Times New Roman Regular"/>
              </w:rPr>
              <w:t xml:space="preserve"> 1.2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822" w:type="dxa"/>
          </w:tcPr>
          <w:p w14:paraId="1D5ADEB7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14:paraId="6AE69CDC" w14:textId="77777777" w:rsidTr="00C17F2D">
        <w:tc>
          <w:tcPr>
            <w:tcW w:w="2689" w:type="dxa"/>
          </w:tcPr>
          <w:p w14:paraId="367CA18D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无严重合并症</w:t>
            </w:r>
          </w:p>
        </w:tc>
        <w:tc>
          <w:tcPr>
            <w:tcW w:w="6945" w:type="dxa"/>
          </w:tcPr>
          <w:p w14:paraId="664E5FC8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无终末期疾病、预期寿命</w:t>
            </w:r>
            <w:r>
              <w:rPr>
                <w:rFonts w:ascii="Times New Roman Regular" w:hAnsi="Times New Roman Regular" w:cs="Times New Roman Regular"/>
              </w:rPr>
              <w:t xml:space="preserve"> &lt; 1</w:t>
            </w:r>
            <w:r>
              <w:rPr>
                <w:rFonts w:ascii="Times New Roman Regular" w:hAnsi="Times New Roman Regular" w:cs="Times New Roman Regular"/>
              </w:rPr>
              <w:t>年、已知严重神经损伤</w:t>
            </w:r>
          </w:p>
        </w:tc>
        <w:tc>
          <w:tcPr>
            <w:tcW w:w="822" w:type="dxa"/>
          </w:tcPr>
          <w:p w14:paraId="67BD7962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14:paraId="3DA02E21" w14:textId="77777777" w:rsidTr="00C17F2D">
        <w:tc>
          <w:tcPr>
            <w:tcW w:w="9634" w:type="dxa"/>
            <w:gridSpan w:val="2"/>
            <w:shd w:val="clear" w:color="auto" w:fill="DAE9F7" w:themeFill="text2" w:themeFillTint="1A"/>
          </w:tcPr>
          <w:p w14:paraId="2C1C9238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可逆病因（至少有一种）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14:paraId="5F223034" w14:textId="77777777" w:rsidR="00FF227E" w:rsidRDefault="00FF227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</w:p>
        </w:tc>
      </w:tr>
      <w:tr w:rsidR="00FF227E" w14:paraId="1C39AA75" w14:textId="77777777" w:rsidTr="00C17F2D">
        <w:tc>
          <w:tcPr>
            <w:tcW w:w="2689" w:type="dxa"/>
          </w:tcPr>
          <w:p w14:paraId="45168FC4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心源性</w:t>
            </w:r>
          </w:p>
        </w:tc>
        <w:tc>
          <w:tcPr>
            <w:tcW w:w="6945" w:type="dxa"/>
          </w:tcPr>
          <w:p w14:paraId="0D961BA3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AMI</w:t>
            </w:r>
            <w:r>
              <w:rPr>
                <w:rFonts w:ascii="Times New Roman Regular" w:hAnsi="Times New Roman Regular" w:cs="Times New Roman Regular"/>
              </w:rPr>
              <w:t>、暴发性心肌炎、心脏术后、心律失常</w:t>
            </w:r>
          </w:p>
        </w:tc>
        <w:tc>
          <w:tcPr>
            <w:tcW w:w="822" w:type="dxa"/>
          </w:tcPr>
          <w:p w14:paraId="52AEEFFD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5E3CE37E" w14:textId="77777777" w:rsidTr="00C17F2D">
        <w:tc>
          <w:tcPr>
            <w:tcW w:w="2689" w:type="dxa"/>
          </w:tcPr>
          <w:p w14:paraId="6B4D1368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肺栓塞</w:t>
            </w:r>
          </w:p>
        </w:tc>
        <w:tc>
          <w:tcPr>
            <w:tcW w:w="6945" w:type="dxa"/>
          </w:tcPr>
          <w:p w14:paraId="06EE72DF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大面积</w:t>
            </w:r>
            <w:r>
              <w:rPr>
                <w:rFonts w:ascii="Times New Roman Regular" w:hAnsi="Times New Roman Regular" w:cs="Times New Roman Regular"/>
              </w:rPr>
              <w:t xml:space="preserve"> PE </w:t>
            </w:r>
            <w:r>
              <w:rPr>
                <w:rFonts w:ascii="Times New Roman Regular" w:hAnsi="Times New Roman Regular" w:cs="Times New Roman Regular"/>
              </w:rPr>
              <w:t>致心跳骤停，溶栓禁忌或无效时</w:t>
            </w:r>
          </w:p>
        </w:tc>
        <w:tc>
          <w:tcPr>
            <w:tcW w:w="822" w:type="dxa"/>
          </w:tcPr>
          <w:p w14:paraId="04B992AF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75A4A813" w14:textId="77777777" w:rsidTr="00C17F2D">
        <w:tc>
          <w:tcPr>
            <w:tcW w:w="2689" w:type="dxa"/>
          </w:tcPr>
          <w:p w14:paraId="60F04126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低体温</w:t>
            </w:r>
          </w:p>
        </w:tc>
        <w:tc>
          <w:tcPr>
            <w:tcW w:w="6945" w:type="dxa"/>
          </w:tcPr>
          <w:p w14:paraId="7C00299D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严重低体温（</w:t>
            </w:r>
            <w:r>
              <w:rPr>
                <w:rFonts w:ascii="Times New Roman Regular" w:hAnsi="Times New Roman Regular" w:cs="Times New Roman Regular"/>
              </w:rPr>
              <w:t>&lt; 30℃</w:t>
            </w:r>
            <w:r>
              <w:rPr>
                <w:rFonts w:ascii="Times New Roman Regular" w:hAnsi="Times New Roman Regular" w:cs="Times New Roman Regular"/>
              </w:rPr>
              <w:t>）致心跳骤停，核心复温手段</w:t>
            </w:r>
          </w:p>
        </w:tc>
        <w:tc>
          <w:tcPr>
            <w:tcW w:w="822" w:type="dxa"/>
          </w:tcPr>
          <w:p w14:paraId="2D4971EF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25D17D85" w14:textId="77777777" w:rsidTr="00C17F2D">
        <w:tc>
          <w:tcPr>
            <w:tcW w:w="2689" w:type="dxa"/>
          </w:tcPr>
          <w:p w14:paraId="48D0E154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药物中毒</w:t>
            </w:r>
          </w:p>
        </w:tc>
        <w:tc>
          <w:tcPr>
            <w:tcW w:w="6945" w:type="dxa"/>
          </w:tcPr>
          <w:p w14:paraId="10613A3F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可逆的心脏毒性药物，同时解毒治疗</w:t>
            </w:r>
          </w:p>
        </w:tc>
        <w:tc>
          <w:tcPr>
            <w:tcW w:w="822" w:type="dxa"/>
          </w:tcPr>
          <w:p w14:paraId="7D04377C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03AED0FB" w14:textId="77777777" w:rsidTr="00C17F2D">
        <w:tc>
          <w:tcPr>
            <w:tcW w:w="2689" w:type="dxa"/>
          </w:tcPr>
          <w:p w14:paraId="70C91953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电解质紊乱</w:t>
            </w:r>
          </w:p>
        </w:tc>
        <w:tc>
          <w:tcPr>
            <w:tcW w:w="6945" w:type="dxa"/>
          </w:tcPr>
          <w:p w14:paraId="6DDD8654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严重高钾等，同时纠正病因</w:t>
            </w:r>
          </w:p>
        </w:tc>
        <w:tc>
          <w:tcPr>
            <w:tcW w:w="822" w:type="dxa"/>
          </w:tcPr>
          <w:p w14:paraId="6677240C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75C49782" w14:textId="77777777" w:rsidTr="00C17F2D">
        <w:tc>
          <w:tcPr>
            <w:tcW w:w="2689" w:type="dxa"/>
          </w:tcPr>
          <w:p w14:paraId="6493E0E2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其他</w:t>
            </w:r>
          </w:p>
        </w:tc>
        <w:tc>
          <w:tcPr>
            <w:tcW w:w="6945" w:type="dxa"/>
          </w:tcPr>
          <w:p w14:paraId="182724AE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过敏性休克、大面积创伤（特定情况）</w:t>
            </w:r>
          </w:p>
        </w:tc>
        <w:tc>
          <w:tcPr>
            <w:tcW w:w="822" w:type="dxa"/>
          </w:tcPr>
          <w:p w14:paraId="30B6F43D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084FD656" w14:textId="77777777">
        <w:tc>
          <w:tcPr>
            <w:tcW w:w="10456" w:type="dxa"/>
            <w:gridSpan w:val="3"/>
            <w:shd w:val="clear" w:color="auto" w:fill="DAE9F7" w:themeFill="text2" w:themeFillTint="1A"/>
          </w:tcPr>
          <w:p w14:paraId="11F53DC8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排除标准（绝对禁忌）</w:t>
            </w:r>
          </w:p>
        </w:tc>
      </w:tr>
      <w:tr w:rsidR="00FF227E" w14:paraId="5792533B" w14:textId="77777777" w:rsidTr="00C17F2D">
        <w:tc>
          <w:tcPr>
            <w:tcW w:w="2689" w:type="dxa"/>
          </w:tcPr>
          <w:p w14:paraId="79DE48F3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无灌流时间</w:t>
            </w:r>
            <w:r>
              <w:rPr>
                <w:rFonts w:ascii="Times New Roman Regular" w:hAnsi="Times New Roman Regular" w:cs="Times New Roman Regular"/>
              </w:rPr>
              <w:t>&gt; 10</w:t>
            </w:r>
            <w:r>
              <w:rPr>
                <w:rFonts w:ascii="Times New Roman Regular" w:hAnsi="Times New Roman Regular" w:cs="Times New Roman Regular"/>
              </w:rPr>
              <w:t>分钟</w:t>
            </w:r>
          </w:p>
        </w:tc>
        <w:tc>
          <w:tcPr>
            <w:tcW w:w="6945" w:type="dxa"/>
          </w:tcPr>
          <w:p w14:paraId="5FA19CD1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bystander CPR</w:t>
            </w:r>
            <w:r>
              <w:rPr>
                <w:rFonts w:ascii="Times New Roman Regular" w:hAnsi="Times New Roman Regular" w:cs="Times New Roman Regular"/>
              </w:rPr>
              <w:t>，神经预后极差</w:t>
            </w:r>
          </w:p>
        </w:tc>
        <w:tc>
          <w:tcPr>
            <w:tcW w:w="822" w:type="dxa"/>
          </w:tcPr>
          <w:p w14:paraId="5609F895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  <w:t>□</w:t>
            </w:r>
          </w:p>
        </w:tc>
      </w:tr>
      <w:tr w:rsidR="00FF227E" w14:paraId="091B1E7C" w14:textId="77777777" w:rsidTr="00C17F2D">
        <w:tc>
          <w:tcPr>
            <w:tcW w:w="2689" w:type="dxa"/>
          </w:tcPr>
          <w:p w14:paraId="238FD5E1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低灌流时间</w:t>
            </w:r>
            <w:r>
              <w:rPr>
                <w:rFonts w:ascii="Times New Roman Regular" w:hAnsi="Times New Roman Regular" w:cs="Times New Roman Regular"/>
              </w:rPr>
              <w:t>&gt; 90</w:t>
            </w:r>
            <w:r>
              <w:rPr>
                <w:rFonts w:ascii="Times New Roman Regular" w:hAnsi="Times New Roman Regular" w:cs="Times New Roman Regular"/>
              </w:rPr>
              <w:t>分钟</w:t>
            </w:r>
          </w:p>
        </w:tc>
        <w:tc>
          <w:tcPr>
            <w:tcW w:w="6945" w:type="dxa"/>
          </w:tcPr>
          <w:p w14:paraId="600CCB3D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即使存活，严重神经损伤概率极高</w:t>
            </w:r>
          </w:p>
        </w:tc>
        <w:tc>
          <w:tcPr>
            <w:tcW w:w="822" w:type="dxa"/>
          </w:tcPr>
          <w:p w14:paraId="65DDCD55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1F8AA75A" w14:textId="77777777" w:rsidTr="00C17F2D">
        <w:tc>
          <w:tcPr>
            <w:tcW w:w="2689" w:type="dxa"/>
          </w:tcPr>
          <w:p w14:paraId="706D1E09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已知终末期疾病</w:t>
            </w:r>
          </w:p>
        </w:tc>
        <w:tc>
          <w:tcPr>
            <w:tcW w:w="6945" w:type="dxa"/>
          </w:tcPr>
          <w:p w14:paraId="252638CE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终末恶性肿瘤、终末心衰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肺病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肝病</w:t>
            </w:r>
          </w:p>
        </w:tc>
        <w:tc>
          <w:tcPr>
            <w:tcW w:w="822" w:type="dxa"/>
          </w:tcPr>
          <w:p w14:paraId="465E024A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0C944322" w14:textId="77777777" w:rsidTr="00C17F2D">
        <w:tc>
          <w:tcPr>
            <w:tcW w:w="2689" w:type="dxa"/>
          </w:tcPr>
          <w:p w14:paraId="2542F2B3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已知严重不可逆脑损伤</w:t>
            </w:r>
          </w:p>
        </w:tc>
        <w:tc>
          <w:tcPr>
            <w:tcW w:w="6945" w:type="dxa"/>
          </w:tcPr>
          <w:p w14:paraId="1465900D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特重型颅脑外伤（</w:t>
            </w:r>
            <w:r>
              <w:rPr>
                <w:rFonts w:ascii="Times New Roman Regular" w:hAnsi="Times New Roman Regular" w:cs="Times New Roman Regular"/>
              </w:rPr>
              <w:t>GCS</w:t>
            </w:r>
            <w:r>
              <w:rPr>
                <w:rFonts w:ascii="Times New Roman Regular" w:hAnsi="Times New Roman Regular" w:cs="Times New Roman Regular"/>
              </w:rPr>
              <w:t>＜</w:t>
            </w:r>
            <w:r>
              <w:rPr>
                <w:rFonts w:ascii="Times New Roman Regular" w:hAnsi="Times New Roman Regular" w:cs="Times New Roman Regular"/>
              </w:rPr>
              <w:t>5</w:t>
            </w:r>
            <w:r>
              <w:rPr>
                <w:rFonts w:ascii="Times New Roman Regular" w:hAnsi="Times New Roman Regular" w:cs="Times New Roman Regular"/>
              </w:rPr>
              <w:t>分）</w:t>
            </w:r>
          </w:p>
        </w:tc>
        <w:tc>
          <w:tcPr>
            <w:tcW w:w="822" w:type="dxa"/>
          </w:tcPr>
          <w:p w14:paraId="17540017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3D48D5DF" w14:textId="77777777" w:rsidTr="00C17F2D">
        <w:tc>
          <w:tcPr>
            <w:tcW w:w="2689" w:type="dxa"/>
          </w:tcPr>
          <w:p w14:paraId="2EE01B7C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拒绝</w:t>
            </w:r>
            <w:r>
              <w:rPr>
                <w:rFonts w:ascii="Times New Roman Regular" w:hAnsi="Times New Roman Regular" w:cs="Times New Roman Regular"/>
              </w:rPr>
              <w:t xml:space="preserve"> CPR/DNAR </w:t>
            </w:r>
            <w:r>
              <w:rPr>
                <w:rFonts w:ascii="Times New Roman Regular" w:hAnsi="Times New Roman Regular" w:cs="Times New Roman Regular"/>
              </w:rPr>
              <w:t>状态</w:t>
            </w:r>
          </w:p>
        </w:tc>
        <w:tc>
          <w:tcPr>
            <w:tcW w:w="6945" w:type="dxa"/>
          </w:tcPr>
          <w:p w14:paraId="668B3D5C" w14:textId="77777777" w:rsidR="00FF227E" w:rsidRDefault="00FF227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14:paraId="06BDE00C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7F124254" w14:textId="77777777" w:rsidTr="00C17F2D">
        <w:tc>
          <w:tcPr>
            <w:tcW w:w="2689" w:type="dxa"/>
          </w:tcPr>
          <w:p w14:paraId="2E41979E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严重创伤伴无法控制出血</w:t>
            </w:r>
          </w:p>
        </w:tc>
        <w:tc>
          <w:tcPr>
            <w:tcW w:w="6945" w:type="dxa"/>
          </w:tcPr>
          <w:p w14:paraId="25624671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肺出血、骨盆严重出血等</w:t>
            </w:r>
          </w:p>
        </w:tc>
        <w:tc>
          <w:tcPr>
            <w:tcW w:w="822" w:type="dxa"/>
          </w:tcPr>
          <w:p w14:paraId="46351FD0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3E34EFAD" w14:textId="77777777">
        <w:tc>
          <w:tcPr>
            <w:tcW w:w="10456" w:type="dxa"/>
            <w:gridSpan w:val="3"/>
            <w:shd w:val="clear" w:color="auto" w:fill="DAE9F7" w:themeFill="text2" w:themeFillTint="1A"/>
          </w:tcPr>
          <w:p w14:paraId="7A879390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相对禁忌（需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MDT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决策）</w:t>
            </w:r>
          </w:p>
        </w:tc>
      </w:tr>
      <w:tr w:rsidR="00FF227E" w14:paraId="394F2571" w14:textId="77777777" w:rsidTr="00C17F2D">
        <w:tc>
          <w:tcPr>
            <w:tcW w:w="2689" w:type="dxa"/>
          </w:tcPr>
          <w:p w14:paraId="0FDB9D23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6945" w:type="dxa"/>
          </w:tcPr>
          <w:p w14:paraId="772800A8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 70 </w:t>
            </w:r>
            <w:r>
              <w:rPr>
                <w:rFonts w:ascii="Times New Roman Regular" w:hAnsi="Times New Roman Regular" w:cs="Times New Roman Regular"/>
              </w:rPr>
              <w:t>岁（但生理年龄更重要）</w:t>
            </w:r>
          </w:p>
        </w:tc>
        <w:tc>
          <w:tcPr>
            <w:tcW w:w="822" w:type="dxa"/>
          </w:tcPr>
          <w:p w14:paraId="54AE2F08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76D302AC" w14:textId="77777777" w:rsidTr="00C17F2D">
        <w:tc>
          <w:tcPr>
            <w:tcW w:w="2689" w:type="dxa"/>
          </w:tcPr>
          <w:p w14:paraId="2C5C2A3B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初始心律</w:t>
            </w:r>
          </w:p>
        </w:tc>
        <w:tc>
          <w:tcPr>
            <w:tcW w:w="6945" w:type="dxa"/>
          </w:tcPr>
          <w:p w14:paraId="66CCEC87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初始非可电击心律（</w:t>
            </w:r>
            <w:r>
              <w:rPr>
                <w:rFonts w:ascii="Times New Roman Regular" w:hAnsi="Times New Roman Regular" w:cs="Times New Roman Regular"/>
              </w:rPr>
              <w:t>PEA/</w:t>
            </w:r>
            <w:r>
              <w:rPr>
                <w:rFonts w:ascii="Times New Roman Regular" w:hAnsi="Times New Roman Regular" w:cs="Times New Roman Regular"/>
              </w:rPr>
              <w:t>心脏停搏）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预后差于</w:t>
            </w:r>
            <w:r>
              <w:rPr>
                <w:rFonts w:ascii="Times New Roman Regular" w:hAnsi="Times New Roman Regular" w:cs="Times New Roman Regular"/>
              </w:rPr>
              <w:t xml:space="preserve"> VT/VF</w:t>
            </w:r>
          </w:p>
        </w:tc>
        <w:tc>
          <w:tcPr>
            <w:tcW w:w="822" w:type="dxa"/>
          </w:tcPr>
          <w:p w14:paraId="5E9AE1BD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7E1EEFF5" w14:textId="77777777" w:rsidTr="00C17F2D">
        <w:tc>
          <w:tcPr>
            <w:tcW w:w="2689" w:type="dxa"/>
          </w:tcPr>
          <w:p w14:paraId="181A79B9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无灌流时间</w:t>
            </w:r>
          </w:p>
        </w:tc>
        <w:tc>
          <w:tcPr>
            <w:tcW w:w="6945" w:type="dxa"/>
          </w:tcPr>
          <w:p w14:paraId="4ABC5DC9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无灌流时间</w:t>
            </w:r>
            <w:r>
              <w:rPr>
                <w:rFonts w:ascii="Times New Roman Regular" w:hAnsi="Times New Roman Regular" w:cs="Times New Roman Regular"/>
              </w:rPr>
              <w:t xml:space="preserve"> 5-10 </w:t>
            </w:r>
            <w:r>
              <w:rPr>
                <w:rFonts w:ascii="Times New Roman Regular" w:hAnsi="Times New Roman Regular" w:cs="Times New Roman Regular"/>
              </w:rPr>
              <w:t>分钟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预后不确定</w:t>
            </w:r>
          </w:p>
        </w:tc>
        <w:tc>
          <w:tcPr>
            <w:tcW w:w="822" w:type="dxa"/>
          </w:tcPr>
          <w:p w14:paraId="3766CEF9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3B4ABA4E" w14:textId="77777777" w:rsidTr="00C17F2D">
        <w:tc>
          <w:tcPr>
            <w:tcW w:w="2689" w:type="dxa"/>
          </w:tcPr>
          <w:p w14:paraId="03E8917A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置管困难</w:t>
            </w:r>
          </w:p>
        </w:tc>
        <w:tc>
          <w:tcPr>
            <w:tcW w:w="6945" w:type="dxa"/>
          </w:tcPr>
          <w:p w14:paraId="0C21B862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严重主动脉瓣反流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主动脉夹层</w:t>
            </w:r>
          </w:p>
        </w:tc>
        <w:tc>
          <w:tcPr>
            <w:tcW w:w="822" w:type="dxa"/>
          </w:tcPr>
          <w:p w14:paraId="04AB50E3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F227E" w14:paraId="771A644B" w14:textId="77777777" w:rsidTr="00C17F2D">
        <w:tc>
          <w:tcPr>
            <w:tcW w:w="2689" w:type="dxa"/>
          </w:tcPr>
          <w:p w14:paraId="3CDA11C3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肝功能</w:t>
            </w:r>
          </w:p>
        </w:tc>
        <w:tc>
          <w:tcPr>
            <w:tcW w:w="6945" w:type="dxa"/>
          </w:tcPr>
          <w:p w14:paraId="14E82E00" w14:textId="77777777" w:rsidR="00FF227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已知肝硬化</w:t>
            </w:r>
            <w:r>
              <w:rPr>
                <w:rFonts w:ascii="Times New Roman Regular" w:hAnsi="Times New Roman Regular" w:cs="Times New Roman Regular"/>
              </w:rPr>
              <w:t xml:space="preserve"> Child-Pugh C</w:t>
            </w:r>
          </w:p>
        </w:tc>
        <w:tc>
          <w:tcPr>
            <w:tcW w:w="822" w:type="dxa"/>
          </w:tcPr>
          <w:p w14:paraId="2A396668" w14:textId="77777777" w:rsidR="00FF227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4A6932" w14:paraId="76695E2E" w14:textId="77777777" w:rsidTr="00C17F2D">
        <w:tc>
          <w:tcPr>
            <w:tcW w:w="2689" w:type="dxa"/>
          </w:tcPr>
          <w:p w14:paraId="2F8C88ED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14:paraId="3D6DC08B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14:paraId="3680632C" w14:textId="77777777" w:rsidR="004A6932" w:rsidRDefault="004A693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14:paraId="4F4D79BC" w14:textId="77777777" w:rsidTr="00C17F2D">
        <w:tc>
          <w:tcPr>
            <w:tcW w:w="2689" w:type="dxa"/>
          </w:tcPr>
          <w:p w14:paraId="3D0657EB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 w:hint="eastAsia"/>
              </w:rPr>
            </w:pPr>
          </w:p>
        </w:tc>
        <w:tc>
          <w:tcPr>
            <w:tcW w:w="6945" w:type="dxa"/>
          </w:tcPr>
          <w:p w14:paraId="3767A3AB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14:paraId="1DFEB409" w14:textId="77777777" w:rsidR="004A6932" w:rsidRDefault="004A693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14:paraId="202EF44C" w14:textId="77777777" w:rsidTr="00C17F2D">
        <w:tc>
          <w:tcPr>
            <w:tcW w:w="2689" w:type="dxa"/>
          </w:tcPr>
          <w:p w14:paraId="0AA1B02C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14:paraId="77F034DD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14:paraId="5528FAEB" w14:textId="77777777" w:rsidR="004A6932" w:rsidRDefault="004A693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14:paraId="0DBFC0DA" w14:textId="77777777" w:rsidTr="00C17F2D">
        <w:tc>
          <w:tcPr>
            <w:tcW w:w="2689" w:type="dxa"/>
          </w:tcPr>
          <w:p w14:paraId="45D597F3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14:paraId="2E331E25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14:paraId="7A183540" w14:textId="77777777" w:rsidR="004A6932" w:rsidRDefault="004A693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14:paraId="1E2EDB42" w14:textId="77777777" w:rsidTr="00C17F2D">
        <w:tc>
          <w:tcPr>
            <w:tcW w:w="2689" w:type="dxa"/>
          </w:tcPr>
          <w:p w14:paraId="15D34584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14:paraId="651EA933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14:paraId="644DF7F8" w14:textId="77777777" w:rsidR="004A6932" w:rsidRDefault="004A693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14:paraId="07753D8C" w14:textId="77777777" w:rsidTr="00C17F2D">
        <w:tc>
          <w:tcPr>
            <w:tcW w:w="2689" w:type="dxa"/>
          </w:tcPr>
          <w:p w14:paraId="3E6E4383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14:paraId="2720DA73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14:paraId="326929CC" w14:textId="77777777" w:rsidR="004A6932" w:rsidRDefault="004A693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4A6932" w14:paraId="18036287" w14:textId="77777777" w:rsidTr="00C17F2D">
        <w:tc>
          <w:tcPr>
            <w:tcW w:w="2689" w:type="dxa"/>
          </w:tcPr>
          <w:p w14:paraId="54385190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945" w:type="dxa"/>
          </w:tcPr>
          <w:p w14:paraId="0F9DD7B5" w14:textId="77777777" w:rsidR="004A6932" w:rsidRDefault="004A6932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14:paraId="3568FECA" w14:textId="77777777" w:rsidR="004A6932" w:rsidRDefault="004A693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14:paraId="4A867A25" w14:textId="77777777" w:rsidR="00FF227E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AHA 2025 CPR &amp; ECC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ARREST 2020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Prague OHCA 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JAMA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INCEPTION 2023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Dennis M et 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al.CARES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2026·JAHA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Morrison LJ et 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al.NHLBI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ECPR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2025·JAHA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</w:p>
    <w:p w14:paraId="2408C2AC" w14:textId="77777777" w:rsidR="00FF227E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心跳骤停患者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启动、运行及预后评估的标准化全流程</w:t>
      </w:r>
    </w:p>
    <w:p w14:paraId="49B2A870" w14:textId="0CA0DACD" w:rsidR="00FF227E" w:rsidRPr="004A6932" w:rsidRDefault="00000000" w:rsidP="004A6932">
      <w:pPr>
        <w:spacing w:after="0" w:line="360" w:lineRule="auto"/>
        <w:jc w:val="both"/>
        <w:rPr>
          <w:rFonts w:ascii="Times New Roman Regular" w:eastAsia="楷体" w:hAnsi="Times New Roman Regular" w:cs="Times New Roman Regular" w:hint="eastAsia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核心原则：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 ECPR =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时间战。无灌流时间越短，神经预后越好。目标：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开始到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转流＜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60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分钟。</w:t>
      </w:r>
    </w:p>
    <w:sectPr w:rsidR="00FF227E" w:rsidRPr="004A693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09A9D" w14:textId="77777777" w:rsidR="00F76B06" w:rsidRDefault="00F76B0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0D643CF" w14:textId="77777777" w:rsidR="00F76B06" w:rsidRDefault="00F76B0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220B8" w14:textId="77777777" w:rsidR="00F76B06" w:rsidRDefault="00F76B06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8841FA1" w14:textId="77777777" w:rsidR="00F76B06" w:rsidRDefault="00F76B06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A6C22"/>
    <w:rsid w:val="004A6932"/>
    <w:rsid w:val="005E7B31"/>
    <w:rsid w:val="00A47BF7"/>
    <w:rsid w:val="00B73C09"/>
    <w:rsid w:val="00BB51F5"/>
    <w:rsid w:val="00C17F2D"/>
    <w:rsid w:val="00C56230"/>
    <w:rsid w:val="00D344A5"/>
    <w:rsid w:val="00EB50E7"/>
    <w:rsid w:val="00F76B06"/>
    <w:rsid w:val="00FF227E"/>
    <w:rsid w:val="33F641AB"/>
    <w:rsid w:val="5CF6F168"/>
    <w:rsid w:val="DFAF1871"/>
    <w:rsid w:val="FDB5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9BDFF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C17F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C17F2D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C17F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C17F2D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519</Words>
  <Characters>676</Characters>
  <Application>Microsoft Office Word</Application>
  <DocSecurity>0</DocSecurity>
  <Lines>67</Lines>
  <Paragraphs>99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5</cp:revision>
  <dcterms:created xsi:type="dcterms:W3CDTF">2026-08-25T16:09:00Z</dcterms:created>
  <dcterms:modified xsi:type="dcterms:W3CDTF">2026-09-15T12:08:00Z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910A825ADA634848B665A729A1F9810B_12</vt:lpwstr>
  </property>
</Properties>
</file>