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C4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 w:ascii="Times New Roman" w:hAnsi="Times New Roman" w:eastAsia="黑体" w:cs="Times New Roman"/>
          <w:sz w:val="48"/>
          <w:szCs w:val="48"/>
          <w:lang w:val="en-US" w:eastAsia="zh-CN"/>
        </w:rPr>
      </w:pPr>
      <w:r>
        <w:rPr>
          <w:rFonts w:hint="default" w:ascii="Times New Roman" w:hAnsi="Times New Roman" w:eastAsia="黑体" w:cs="Times New Roman"/>
          <w:sz w:val="48"/>
          <w:szCs w:val="48"/>
          <w:lang w:val="en-US" w:eastAsia="zh-CN"/>
        </w:rPr>
        <w:t>ECMO checklist 目录</w:t>
      </w:r>
    </w:p>
    <w:p w14:paraId="15A9E4E4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 设备及耗材日常核查清单（表1-3）</w:t>
      </w:r>
    </w:p>
    <w:p w14:paraId="1B115DF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ECMO操作及质量评价表（表4-7）</w:t>
      </w:r>
    </w:p>
    <w:p w14:paraId="26F7B2E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VA-ECMO临床启动快速筛查评估表（表8-9）</w:t>
      </w:r>
    </w:p>
    <w:p w14:paraId="098A4C6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VV-ECMO临床启动快速筛查评估表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（表10-11）</w:t>
      </w:r>
    </w:p>
    <w:p w14:paraId="47782DF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ECPR（体外心肺复苏）专项流程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（表12-14）</w:t>
      </w:r>
    </w:p>
    <w:p w14:paraId="0C3820E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VA-ECMO 治疗前预测生存率评估单（SAVE评分）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（表15）</w:t>
      </w:r>
    </w:p>
    <w:p w14:paraId="605AF93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VV-ECMO治疗前预测生存率评估单（RESP评分）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（表16）</w:t>
      </w:r>
      <w:bookmarkStart w:id="0" w:name="_GoBack"/>
      <w:bookmarkEnd w:id="0"/>
    </w:p>
    <w:p w14:paraId="354AB64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ECMO（体外膜肺氧合）治疗知情同意书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（表17）</w:t>
      </w:r>
    </w:p>
    <w:p w14:paraId="1A3AC68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ECMO治疗启动参数与初始管理表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（表18-21）</w:t>
      </w:r>
    </w:p>
    <w:p w14:paraId="77B5F1E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VA-ECMO监测与管理规范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（表22）</w:t>
      </w:r>
    </w:p>
    <w:p w14:paraId="536997C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VA-ECMO并发症监测与管理速查表（表23）</w:t>
      </w:r>
    </w:p>
    <w:p w14:paraId="7AC8548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VV-ECMO监测与管理规范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（表24-30）</w:t>
      </w:r>
    </w:p>
    <w:p w14:paraId="6B74CA6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ECMO重症超声可视化管理SOP打卡单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（表31-34）</w:t>
      </w:r>
    </w:p>
    <w:p w14:paraId="66684D6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ECMO每日检查记录单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（表35-38）</w:t>
      </w:r>
    </w:p>
    <w:p w14:paraId="6CCD814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 患者神经功能监测与脑保护多模态管理表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（表39）</w:t>
      </w:r>
    </w:p>
    <w:p w14:paraId="5709EDC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ECMO 紧急驱动器（手摇泵）使用流程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（表40）</w:t>
      </w:r>
    </w:p>
    <w:p w14:paraId="22D8E40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ECMO 氧代谢评估与容量复苏决策通道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（表41-42）</w:t>
      </w:r>
    </w:p>
    <w:p w14:paraId="3DD4C9D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ECMO患者转运流程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（表43-45）</w:t>
      </w:r>
    </w:p>
    <w:p w14:paraId="63465FB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VV-ECMO撤机流程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（表46）</w:t>
      </w:r>
    </w:p>
    <w:p w14:paraId="20397FF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VA-ECMO撤机流程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（表47）</w:t>
      </w:r>
    </w:p>
    <w:p w14:paraId="127F081D">
      <w:pPr>
        <w:numPr>
          <w:numId w:val="0"/>
        </w:numPr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6085B"/>
    <w:multiLevelType w:val="singleLevel"/>
    <w:tmpl w:val="C2E608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D72B5"/>
    <w:rsid w:val="2D0F1517"/>
    <w:rsid w:val="51F223CA"/>
    <w:rsid w:val="53BA1433"/>
    <w:rsid w:val="60483AFC"/>
    <w:rsid w:val="61C8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2026-09-08T14:07:18Z</dcterms:created>
  <dc:creator>LENOVO</dc:creator>
  <cp:lastModifiedBy>南宫晓冬</cp:lastModifiedBy>
  <dcterms:modified xsi:type="dcterms:W3CDTF">2026-09-08T15:14:38Z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eyJoZGlkIjoiZDY3M2VjYzg4ZWUzYjg2ZDA4MWRmYmNhOTYzMDliZjciLCJ1c2VySWQiOiIyNjY4NDU5MjcifQ==</vt:lpwstr>
  </property>
  <property fmtid="{D5CDD505-2E9C-101B-9397-08002B2CF9AE}" pid="4" name="ICV">
    <vt:lpwstr>BC120C0141F149689198048CC0447A3C_12</vt:lpwstr>
  </property>
</Properties>
</file>