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C6B" w:rsidRDefault="00FD36E8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17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（体外膜肺氧合）治疗知情同意书</w:t>
      </w:r>
    </w:p>
    <w:tbl>
      <w:tblPr>
        <w:tblStyle w:val="ab"/>
        <w:tblW w:w="10491" w:type="dxa"/>
        <w:tblInd w:w="-5" w:type="dxa"/>
        <w:tblLook w:val="04A0" w:firstRow="1" w:lastRow="0" w:firstColumn="1" w:lastColumn="0" w:noHBand="0" w:noVBand="1"/>
      </w:tblPr>
      <w:tblGrid>
        <w:gridCol w:w="461"/>
        <w:gridCol w:w="823"/>
        <w:gridCol w:w="554"/>
        <w:gridCol w:w="757"/>
        <w:gridCol w:w="457"/>
        <w:gridCol w:w="1394"/>
        <w:gridCol w:w="368"/>
        <w:gridCol w:w="197"/>
        <w:gridCol w:w="273"/>
        <w:gridCol w:w="257"/>
        <w:gridCol w:w="520"/>
        <w:gridCol w:w="99"/>
        <w:gridCol w:w="363"/>
        <w:gridCol w:w="1004"/>
        <w:gridCol w:w="935"/>
        <w:gridCol w:w="1392"/>
        <w:gridCol w:w="637"/>
      </w:tblGrid>
      <w:tr w:rsidR="005E0C6B">
        <w:trPr>
          <w:trHeight w:val="69"/>
        </w:trPr>
        <w:tc>
          <w:tcPr>
            <w:tcW w:w="1872" w:type="dxa"/>
            <w:gridSpan w:val="3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664" w:type="dxa"/>
            <w:gridSpan w:val="3"/>
            <w:shd w:val="clear" w:color="auto" w:fill="DAE9F7" w:themeFill="text2" w:themeFillTint="1A"/>
          </w:tcPr>
          <w:p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658" w:type="dxa"/>
            <w:gridSpan w:val="5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1504" w:type="dxa"/>
            <w:gridSpan w:val="3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  <w:tc>
          <w:tcPr>
            <w:tcW w:w="960" w:type="dxa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1833" w:type="dxa"/>
            <w:gridSpan w:val="2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5E0C6B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664" w:type="dxa"/>
            <w:gridSpan w:val="3"/>
            <w:shd w:val="clear" w:color="auto" w:fill="FFFFFF" w:themeFill="background1"/>
          </w:tcPr>
          <w:p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658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床位</w:t>
            </w:r>
          </w:p>
        </w:tc>
        <w:tc>
          <w:tcPr>
            <w:tcW w:w="1504" w:type="dxa"/>
            <w:gridSpan w:val="3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960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科室</w:t>
            </w:r>
          </w:p>
        </w:tc>
        <w:tc>
          <w:tcPr>
            <w:tcW w:w="1833" w:type="dxa"/>
            <w:gridSpan w:val="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  <w:vAlign w:val="center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主要诊断</w:t>
            </w:r>
          </w:p>
        </w:tc>
        <w:tc>
          <w:tcPr>
            <w:tcW w:w="8619" w:type="dxa"/>
            <w:gridSpan w:val="14"/>
            <w:shd w:val="clear" w:color="auto" w:fill="FFFFFF" w:themeFill="background1"/>
          </w:tcPr>
          <w:p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5E0C6B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  <w:vAlign w:val="center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</w:t>
            </w:r>
          </w:p>
        </w:tc>
        <w:tc>
          <w:tcPr>
            <w:tcW w:w="8619" w:type="dxa"/>
            <w:gridSpan w:val="1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 VA-ECMO</w:t>
            </w:r>
            <w:r>
              <w:rPr>
                <w:rFonts w:ascii="Times New Roman Regular" w:hAnsi="Times New Roman Regular" w:cs="Times New Roman Regular"/>
              </w:rPr>
              <w:t>（静脉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动脉，心脏支持为主）</w:t>
            </w:r>
            <w:r>
              <w:rPr>
                <w:rFonts w:ascii="Times New Roman Regular" w:hAnsi="Times New Roman Regular" w:cs="Times New Roman Regular"/>
              </w:rPr>
              <w:t xml:space="preserve"> □ VV-ECMO</w:t>
            </w:r>
            <w:r>
              <w:rPr>
                <w:rFonts w:ascii="Times New Roman Regular" w:hAnsi="Times New Roman Regular" w:cs="Times New Roman Regular"/>
              </w:rPr>
              <w:t>（静脉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静脉，肺支持为主）</w:t>
            </w:r>
            <w:r>
              <w:rPr>
                <w:rFonts w:ascii="Times New Roman Regular" w:hAnsi="Times New Roman Regular" w:cs="Times New Roman Regular"/>
              </w:rPr>
              <w:t xml:space="preserve"> □ ECPR</w:t>
            </w:r>
            <w:r>
              <w:rPr>
                <w:rFonts w:ascii="Times New Roman Regular" w:hAnsi="Times New Roman Regular" w:cs="Times New Roman Regular"/>
              </w:rPr>
              <w:t>（体外心肺复苏）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5E0C6B">
        <w:trPr>
          <w:trHeight w:val="69"/>
        </w:trPr>
        <w:tc>
          <w:tcPr>
            <w:tcW w:w="1872" w:type="dxa"/>
            <w:gridSpan w:val="3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计划插管方式</w:t>
            </w:r>
          </w:p>
        </w:tc>
        <w:tc>
          <w:tcPr>
            <w:tcW w:w="8619" w:type="dxa"/>
            <w:gridSpan w:val="1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股动脉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颈内静脉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腋动脉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中心插管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一、什么是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</w:tcPr>
          <w:p w:rsidR="005E0C6B" w:rsidRDefault="00FD36E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体外膜肺氧合（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）是一种高级生命支持技术。它将患者的血液从体内引出，通过人工膜肺进行氧合并清除二氧化碳，再由血泵将氧合后的血液输回体内。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可以暂时替代心脏和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或肺的功能，为心肺功能的恢复争取宝贵的时间。</w:t>
            </w:r>
          </w:p>
          <w:p w:rsidR="005E0C6B" w:rsidRDefault="00FD36E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本身不治疗原发病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它只是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买时间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，让心脏或肺在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休息</w:t>
            </w:r>
            <w:r>
              <w:rPr>
                <w:rFonts w:ascii="Times New Roman Regular" w:hAnsi="Times New Roman Regular" w:cs="Times New Roman Regular"/>
              </w:rPr>
              <w:t>""</w:t>
            </w:r>
            <w:r>
              <w:rPr>
                <w:rFonts w:ascii="Times New Roman Regular" w:hAnsi="Times New Roman Regular" w:cs="Times New Roman Regular"/>
              </w:rPr>
              <w:t>中得到恢复。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二、为什么要做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？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根据患者目前的病情，经过本学科（及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或多学科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MDT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）讨论，认为：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br/>
              <w:t>1.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患者的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心脏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□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肺功能已严重衰竭，常规药物治疗和呼吸机支持效果不佳，如果不启动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，患者面临极高的死亡风险。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br/>
              <w:t>3.ECMO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是当前情况下维持生命的必要手段，患者仍存在可逆因素，有恢复的可能。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三、预计治疗时长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支持时间因病情和模式不同，具体时长取决于原发病恢复速度和有无并发症。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5204" w:type="dxa"/>
            <w:gridSpan w:val="9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VV-ECMO</w:t>
            </w:r>
            <w:r>
              <w:rPr>
                <w:rFonts w:ascii="Times New Roman Regular" w:hAnsi="Times New Roman Regular" w:cs="Times New Roman Regular"/>
                <w:szCs w:val="22"/>
              </w:rPr>
              <w:t>（肺支持）</w:t>
            </w:r>
          </w:p>
        </w:tc>
        <w:tc>
          <w:tcPr>
            <w:tcW w:w="4838" w:type="dxa"/>
            <w:gridSpan w:val="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通常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1-3</w:t>
            </w:r>
            <w:r>
              <w:rPr>
                <w:rFonts w:ascii="Times New Roman Regular" w:hAnsi="Times New Roman Regular" w:cs="Times New Roman Regular"/>
                <w:szCs w:val="22"/>
              </w:rPr>
              <w:t>周，部分可达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4-6</w:t>
            </w:r>
            <w:r>
              <w:rPr>
                <w:rFonts w:ascii="Times New Roman Regular" w:hAnsi="Times New Roman Regular" w:cs="Times New Roman Regular"/>
                <w:szCs w:val="22"/>
              </w:rPr>
              <w:t>周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5204" w:type="dxa"/>
            <w:gridSpan w:val="9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VA-ECMO</w:t>
            </w:r>
            <w:r>
              <w:rPr>
                <w:rFonts w:ascii="Times New Roman Regular" w:hAnsi="Times New Roman Regular" w:cs="Times New Roman Regular"/>
                <w:szCs w:val="22"/>
              </w:rPr>
              <w:t>（心脏支持）</w:t>
            </w:r>
          </w:p>
        </w:tc>
        <w:tc>
          <w:tcPr>
            <w:tcW w:w="4838" w:type="dxa"/>
            <w:gridSpan w:val="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通常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3-7</w:t>
            </w:r>
            <w:r>
              <w:rPr>
                <w:rFonts w:ascii="Times New Roman Regular" w:hAnsi="Times New Roman Regular" w:cs="Times New Roman Regular"/>
                <w:szCs w:val="22"/>
              </w:rPr>
              <w:t>天，部分可达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2-4</w:t>
            </w:r>
            <w:r>
              <w:rPr>
                <w:rFonts w:ascii="Times New Roman Regular" w:hAnsi="Times New Roman Regular" w:cs="Times New Roman Regular"/>
                <w:szCs w:val="22"/>
              </w:rPr>
              <w:t>周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5204" w:type="dxa"/>
            <w:gridSpan w:val="9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ECPR</w:t>
            </w:r>
            <w:r>
              <w:rPr>
                <w:rFonts w:ascii="Times New Roman Regular" w:hAnsi="Times New Roman Regular" w:cs="Times New Roman Regular"/>
                <w:szCs w:val="22"/>
              </w:rPr>
              <w:t>（心肺复苏）</w:t>
            </w:r>
          </w:p>
        </w:tc>
        <w:tc>
          <w:tcPr>
            <w:tcW w:w="4838" w:type="dxa"/>
            <w:gridSpan w:val="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通常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1-3</w:t>
            </w:r>
            <w:r>
              <w:rPr>
                <w:rFonts w:ascii="Times New Roman Regular" w:hAnsi="Times New Roman Regular" w:cs="Times New Roman Regular"/>
                <w:szCs w:val="22"/>
              </w:rPr>
              <w:t>天评估神经预后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四、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治疗有哪些风险和并发症？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虽然医务人员将尽最大努力、严格按规范操作，但由于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是一项高风险的侵入性技术，在治疗过程中仍可能发生以下并发症（基于国际</w:t>
            </w:r>
            <w:r>
              <w:rPr>
                <w:rFonts w:ascii="Times New Roman Regular" w:hAnsi="Times New Roman Regular" w:cs="Times New Roman Regular"/>
                <w:szCs w:val="22"/>
              </w:rPr>
              <w:t>ELSO</w:t>
            </w:r>
            <w:r>
              <w:rPr>
                <w:rFonts w:ascii="Times New Roman Regular" w:hAnsi="Times New Roman Regular" w:cs="Times New Roman Regular"/>
                <w:szCs w:val="22"/>
              </w:rPr>
              <w:t>注册数据库统计）：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4.1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血管穿刺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切开相关并发症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穿刺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置管失败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因血管条件差、解剖变异等因素，可能无法成功置管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血管损伤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包括动脉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静脉撕裂、夹层、穿孔，可能需要外科修复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局部出血和血肿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穿刺处出血，大多可压迫止血，少数需外科处理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4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动静脉瘘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拔管后远期并发症，多数可保守或介入处理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5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神经损伤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穿刺部位邻近神经受损，可导致感觉或运动障碍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6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血气胸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颈内静脉穿刺时损伤胸膜或肺尖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7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导丝或导管损伤心脏，心包积血压迫心脏（紧急危险）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4.2 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运行期间并发症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常见并发症。包括穿刺点、消化道、呼吸道等部位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严重可危及生命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栓塞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环路内血栓形成，或血栓脱落导致脑梗死、肢体缺血、肠坏死等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脑损伤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包括脑出血、脑梗死、癫痫等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可能导致永久性神经功能缺损甚至脑死亡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4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感染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血流感染、肺部感染、穿刺点感染等；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运行时间长者风险增加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5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溶血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血泵对红细胞的机械破坏，严重时需要更换管路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6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氧合器衰竭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膜肺功能随时间下降，需要更换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7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血小板减少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消耗血小板，可能需要反复输注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8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肝素诱导血小板减少症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肝素引起的特殊免疫反应，需更换抗凝药物（如阿加曲班）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lastRenderedPageBreak/>
              <w:t>9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下肢缺血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股动脉插管侧下肢血流不足，严重时可能需要手术甚至截肢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发生率</w:t>
            </w:r>
            <w:r>
              <w:rPr>
                <w:rFonts w:ascii="Times New Roman Regular" w:hAnsi="Times New Roman Regular" w:cs="Times New Roman Regular"/>
              </w:rPr>
              <w:t>1-5%)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10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心律失常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运行中可能出现各种心律失常，需要药物或电复律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4.3  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特有的并发症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左室膨胀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增加心脏后负荷，左室淤血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肺水肿，需要</w:t>
            </w:r>
            <w:r>
              <w:rPr>
                <w:rFonts w:ascii="Times New Roman Regular" w:hAnsi="Times New Roman Regular" w:cs="Times New Roman Regular"/>
              </w:rPr>
              <w:t>IABP/Impella/</w:t>
            </w:r>
            <w:r>
              <w:rPr>
                <w:rFonts w:ascii="Times New Roman Regular" w:hAnsi="Times New Roman Regular" w:cs="Times New Roman Regular"/>
              </w:rPr>
              <w:t>外科减压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差异性低氧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南北综合征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股动脉插管时，上半身（心脏和脑）供氧不足，需要调整策略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主动脉瓣血栓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主动脉瓣长期不开放时可能在根部形成血栓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4.4  VV-ECMO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特有的并发症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DAE9F7" w:themeFill="text2" w:themeFillTint="1A"/>
          </w:tcPr>
          <w:p w:rsidR="005E0C6B" w:rsidRDefault="005E0C6B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  <w:tc>
          <w:tcPr>
            <w:tcW w:w="2670" w:type="dxa"/>
            <w:gridSpan w:val="4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7372" w:type="dxa"/>
            <w:gridSpan w:val="12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再循环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输出的氧合血被引流管重新吸入，导致全身氧合效率下降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2670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CO</w:t>
            </w:r>
            <w:r w:rsidRPr="00FD36E8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快速变化致脑损伤</w:t>
            </w:r>
          </w:p>
        </w:tc>
        <w:tc>
          <w:tcPr>
            <w:tcW w:w="7372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上机初</w:t>
            </w:r>
            <w:r>
              <w:rPr>
                <w:rFonts w:ascii="Times New Roman Regular" w:hAnsi="Times New Roman Regular" w:cs="Times New Roman Regular"/>
              </w:rPr>
              <w:t xml:space="preserve"> CO</w:t>
            </w:r>
            <w:r w:rsidRPr="00FD36E8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下降过快可能导致脑血流异常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4.5 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其他可能的风险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治疗过程中可能根据病情需要改变原定治疗方案（如转换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模式）；药物不良反应（肝素等抗凝药物过敏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不耐受）；输血相关风险（感染、过敏、输血相关肺损伤等）；与患者本身体质有关不可预知的不良后果；现有医学科学条件下，发生无法预料或不能防范的后果；治疗过程中可能需多次手术或介入操作；死亡风险：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患者总体住院存活率因原发病不同差异很大（约</w:t>
            </w:r>
            <w:r>
              <w:rPr>
                <w:rFonts w:ascii="Times New Roman Regular" w:hAnsi="Times New Roman Regular" w:cs="Times New Roman Regular"/>
              </w:rPr>
              <w:t>40-60%</w:t>
            </w:r>
            <w:r>
              <w:rPr>
                <w:rFonts w:ascii="Times New Roman Regular" w:hAnsi="Times New Roman Regular" w:cs="Times New Roman Regular"/>
              </w:rPr>
              <w:t>），尤其</w:t>
            </w:r>
            <w:r>
              <w:rPr>
                <w:rFonts w:ascii="Times New Roman Regular" w:hAnsi="Times New Roman Regular" w:cs="Times New Roman Regular"/>
              </w:rPr>
              <w:t>ECPR</w:t>
            </w:r>
            <w:r>
              <w:rPr>
                <w:rFonts w:ascii="Times New Roman Regular" w:hAnsi="Times New Roman Regular" w:cs="Times New Roman Regular"/>
              </w:rPr>
              <w:t>患者预后更不确定。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五、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治疗有没有替代方案？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替代方案</w:t>
            </w:r>
          </w:p>
        </w:tc>
        <w:tc>
          <w:tcPr>
            <w:tcW w:w="7393" w:type="dxa"/>
            <w:gridSpan w:val="12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为什么不选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局限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继续最佳药物治疗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已尝试，效果不佳；继续等待可能导致不可逆的器官损伤</w:t>
            </w:r>
          </w:p>
        </w:tc>
        <w:tc>
          <w:tcPr>
            <w:tcW w:w="436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常规机械通气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已使用，无法满足氧合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通气需求</w:t>
            </w:r>
          </w:p>
        </w:tc>
        <w:tc>
          <w:tcPr>
            <w:tcW w:w="436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高频振荡通气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对部分</w:t>
            </w:r>
            <w:r>
              <w:rPr>
                <w:rFonts w:ascii="Times New Roman Regular" w:hAnsi="Times New Roman Regular" w:cs="Times New Roman Regular"/>
              </w:rPr>
              <w:t xml:space="preserve"> ARDS </w:t>
            </w:r>
            <w:r>
              <w:rPr>
                <w:rFonts w:ascii="Times New Roman Regular" w:hAnsi="Times New Roman Regular" w:cs="Times New Roman Regular"/>
              </w:rPr>
              <w:t>可能有益，但对严重呼吸衰竭效果有限</w:t>
            </w:r>
          </w:p>
        </w:tc>
        <w:tc>
          <w:tcPr>
            <w:tcW w:w="436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俯卧位通气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已尝试（如适用），效果未达到预期</w:t>
            </w:r>
          </w:p>
        </w:tc>
        <w:tc>
          <w:tcPr>
            <w:tcW w:w="436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吸入一氧化氮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前列环素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已尝试（如适用），效果不足</w:t>
            </w:r>
          </w:p>
        </w:tc>
        <w:tc>
          <w:tcPr>
            <w:tcW w:w="436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心脏移植</w:t>
            </w:r>
            <w:r>
              <w:rPr>
                <w:rFonts w:ascii="Times New Roman Regular" w:hAnsi="Times New Roman Regular" w:cs="Times New Roman Regular"/>
              </w:rPr>
              <w:t>/LVAD</w:t>
            </w:r>
          </w:p>
        </w:tc>
        <w:tc>
          <w:tcPr>
            <w:tcW w:w="7393" w:type="dxa"/>
            <w:gridSpan w:val="1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不适合急诊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无供体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评估需要时间</w:t>
            </w:r>
          </w:p>
        </w:tc>
        <w:tc>
          <w:tcPr>
            <w:tcW w:w="436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不启动</w:t>
            </w:r>
            <w:r>
              <w:rPr>
                <w:rFonts w:ascii="Times New Roman Regular" w:hAnsi="Times New Roman Regular" w:cs="Times New Roman Regular"/>
              </w:rPr>
              <w:t xml:space="preserve"> ECMO</w:t>
            </w:r>
            <w:r>
              <w:rPr>
                <w:rFonts w:ascii="Times New Roman Regular" w:hAnsi="Times New Roman Regular" w:cs="Times New Roman Regular"/>
              </w:rPr>
              <w:t>的后果：</w:t>
            </w:r>
            <w:r>
              <w:rPr>
                <w:rFonts w:ascii="Times New Roman Regular" w:hAnsi="Times New Roman Regular" w:cs="Times New Roman Regular"/>
              </w:rPr>
              <w:t> </w:t>
            </w:r>
            <w:r>
              <w:rPr>
                <w:rFonts w:ascii="Times New Roman Regular" w:hAnsi="Times New Roman Regular" w:cs="Times New Roman Regular"/>
              </w:rPr>
              <w:t>鉴于目前心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肺衰竭严重程度，不启动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将面临极高的死亡风险。</w:t>
            </w: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六、医生承诺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我们将尽一切努力，认真负责、细心谨慎，严格按照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诊疗规范操作，在治疗前，将对患者进行全面检查和评估，严密观察病情变化。如发生并发症和意外，将全力组织抢救，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运行期间将保证</w:t>
            </w:r>
            <w:r>
              <w:rPr>
                <w:rFonts w:ascii="Times New Roman Regular" w:hAnsi="Times New Roman Regular" w:cs="Times New Roman Regular"/>
                <w:szCs w:val="22"/>
              </w:rPr>
              <w:t>24</w:t>
            </w:r>
            <w:r>
              <w:rPr>
                <w:rFonts w:ascii="Times New Roman Regular" w:hAnsi="Times New Roman Regular" w:cs="Times New Roman Regular"/>
                <w:szCs w:val="22"/>
              </w:rPr>
              <w:t>小时有专业人员监护，我们会在关键节点与家属沟通病情进展。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七、患者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家属权利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297" w:type="dxa"/>
            <w:gridSpan w:val="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知情权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您有权了解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szCs w:val="22"/>
              </w:rPr>
              <w:t>治疗的性质、目的、风险及替代方案。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342"/>
        </w:trPr>
        <w:tc>
          <w:tcPr>
            <w:tcW w:w="1297" w:type="dxa"/>
            <w:gridSpan w:val="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提问权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如有任何疑问，请随时向经治医师或科主任提出，我们会认真听取并耐心解答。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297" w:type="dxa"/>
            <w:gridSpan w:val="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选择权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您有权同意或拒绝接受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治疗，您的决定将得到充分尊重。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297" w:type="dxa"/>
            <w:gridSpan w:val="2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隐私权</w:t>
            </w:r>
          </w:p>
        </w:tc>
        <w:tc>
          <w:tcPr>
            <w:tcW w:w="9194" w:type="dxa"/>
            <w:gridSpan w:val="1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所有医疗信息将严格保密。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拒绝治疗不影响其他治疗，如拒绝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ECMO</w:t>
            </w:r>
            <w:r>
              <w:rPr>
                <w:rFonts w:ascii="Times New Roman Regular" w:hAnsi="Times New Roman Regular" w:cs="Times New Roman Regular"/>
                <w:szCs w:val="22"/>
              </w:rPr>
              <w:t>，不影响继续接受其他常规治疗。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tabs>
                <w:tab w:val="left" w:pos="2231"/>
              </w:tabs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八、费用说明，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治疗费用较高，主要包括：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1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耗材（管路套包、氧合器等）</w:t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一次性材料费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2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szCs w:val="22"/>
              </w:rPr>
              <w:t>运行费用</w:t>
            </w:r>
            <w:r>
              <w:rPr>
                <w:rFonts w:ascii="Times New Roman Regular" w:hAnsi="Times New Roman Regular" w:cs="Times New Roman Regular"/>
                <w:szCs w:val="22"/>
              </w:rPr>
              <w:t>(</w:t>
            </w:r>
            <w:r>
              <w:rPr>
                <w:rFonts w:ascii="Times New Roman Regular" w:hAnsi="Times New Roman Regular" w:cs="Times New Roman Regular"/>
                <w:szCs w:val="22"/>
              </w:rPr>
              <w:t>设备使用、血气</w:t>
            </w:r>
            <w:r>
              <w:rPr>
                <w:rFonts w:ascii="Times New Roman Regular" w:hAnsi="Times New Roman Regular" w:cs="Times New Roman Regular"/>
                <w:szCs w:val="22"/>
              </w:rPr>
              <w:t>/ACT</w:t>
            </w:r>
            <w:r>
              <w:rPr>
                <w:rFonts w:ascii="Times New Roman Regular" w:hAnsi="Times New Roman Regular" w:cs="Times New Roman Regular"/>
                <w:szCs w:val="22"/>
              </w:rPr>
              <w:t>监测等</w:t>
            </w:r>
            <w:r>
              <w:rPr>
                <w:rFonts w:ascii="Times New Roman Regular" w:hAnsi="Times New Roman Regular" w:cs="Times New Roman Regular"/>
                <w:szCs w:val="22"/>
              </w:rPr>
              <w:t>)</w:t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按日计算</w:t>
            </w:r>
          </w:p>
        </w:tc>
      </w:tr>
      <w:tr w:rsidR="005E0C6B">
        <w:trPr>
          <w:trHeight w:val="340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3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ICU</w:t>
            </w:r>
            <w:r>
              <w:rPr>
                <w:rFonts w:ascii="Times New Roman Regular" w:hAnsi="Times New Roman Regular" w:cs="Times New Roman Regular"/>
                <w:szCs w:val="22"/>
              </w:rPr>
              <w:t>治疗费用</w:t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药品（抗感染、镇静镇痛等）、监护、检查等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4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血制品费用</w:t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红细胞、血浆、血小板等，使用量可能较大</w:t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5</w:t>
            </w:r>
          </w:p>
        </w:tc>
        <w:tc>
          <w:tcPr>
            <w:tcW w:w="4937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可能的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CRRT</w:t>
            </w:r>
            <w:r>
              <w:rPr>
                <w:rFonts w:ascii="Times New Roman Regular" w:hAnsi="Times New Roman Regular" w:cs="Times New Roman Regular"/>
                <w:szCs w:val="22"/>
              </w:rPr>
              <w:t>费用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  <w:tc>
          <w:tcPr>
            <w:tcW w:w="5105" w:type="dxa"/>
            <w:gridSpan w:val="8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持续肾脏替代治疗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具体费用因病情复杂程度、运行天数和并发症情况差异很大。</w:t>
            </w:r>
            <w:r>
              <w:rPr>
                <w:rFonts w:ascii="Times New Roman Regular" w:hAnsi="Times New Roman Regular" w:cs="Times New Roman Regular"/>
                <w:szCs w:val="22"/>
              </w:rPr>
              <w:t> </w:t>
            </w:r>
            <w:r>
              <w:rPr>
                <w:rFonts w:ascii="Times New Roman Regular" w:hAnsi="Times New Roman Regular" w:cs="Times New Roman Regular"/>
                <w:szCs w:val="22"/>
              </w:rPr>
              <w:t>医保报销比例依各地政策而定，部分耗材可能需自费。建议家属咨询经治医师和医保办了解详细情况。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九、签字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lastRenderedPageBreak/>
              <w:t>患者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家属声明</w:t>
            </w:r>
            <w:r>
              <w:rPr>
                <w:rFonts w:ascii="Times New Roman Regular" w:hAnsi="Times New Roman Regular" w:cs="Times New Roman Regular"/>
                <w:szCs w:val="22"/>
              </w:rPr>
              <w:t>：我已仔细阅读（或听取经治医师朗读并解释）上述全部内容，对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治疗目的、方法、风险、替代方案及费用已充分了解。经治医师已对我的疑问进行了详细解答。经过慎重考虑：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  <w:tc>
          <w:tcPr>
            <w:tcW w:w="10042" w:type="dxa"/>
            <w:gridSpan w:val="16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我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         </w:t>
            </w:r>
            <w:r>
              <w:rPr>
                <w:rFonts w:ascii="Times New Roman Regular" w:hAnsi="Times New Roman Regular" w:cs="Times New Roman Regular"/>
                <w:szCs w:val="22"/>
              </w:rPr>
              <w:t>接受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治疗，并自愿承担由此产生的合理治疗费用和相关风险。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449" w:type="dxa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□</w:t>
            </w:r>
          </w:p>
        </w:tc>
        <w:tc>
          <w:tcPr>
            <w:tcW w:w="10042" w:type="dxa"/>
            <w:gridSpan w:val="16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我</w:t>
            </w:r>
            <w:r>
              <w:rPr>
                <w:rFonts w:ascii="Times New Roman Regular" w:hAnsi="Times New Roman Regular" w:cs="Times New Roman Regular"/>
                <w:szCs w:val="22"/>
              </w:rPr>
              <w:t xml:space="preserve">          </w:t>
            </w:r>
            <w:r>
              <w:rPr>
                <w:rFonts w:ascii="Times New Roman Regular" w:hAnsi="Times New Roman Regular" w:cs="Times New Roman Regular"/>
                <w:szCs w:val="22"/>
              </w:rPr>
              <w:t>接受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治疗，我知晓拒绝该治疗可能带来的后果。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患者签名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1560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与患者关系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本人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配偶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子女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父母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</w:tr>
      <w:tr w:rsidR="005E0C6B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家属签名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560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与患者关系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家属签名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第二家属）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560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与患者关系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 w:rsidTr="00E15011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2441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1560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联系电话</w:t>
            </w:r>
          </w:p>
        </w:tc>
        <w:tc>
          <w:tcPr>
            <w:tcW w:w="3828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szCs w:val="22"/>
              </w:rPr>
              <w:t>如患者无法亲自签署（昏迷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镇静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无民事行为能力），由法定代理人或近亲属代为签署。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医师声明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: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>
              <w:rPr>
                <w:rFonts w:ascii="Times New Roman Regular" w:hAnsi="Times New Roman Regular" w:cs="Times New Roman Regular"/>
                <w:szCs w:val="22"/>
              </w:rPr>
              <w:t>我已向患者及</w:t>
            </w:r>
            <w:r>
              <w:rPr>
                <w:rFonts w:ascii="Times New Roman Regular" w:hAnsi="Times New Roman Regular" w:cs="Times New Roman Regular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szCs w:val="22"/>
              </w:rPr>
              <w:t>或家属详细说明了</w:t>
            </w:r>
            <w:r>
              <w:rPr>
                <w:rFonts w:ascii="Times New Roman Regular" w:hAnsi="Times New Roman Regular" w:cs="Times New Roman Regular"/>
                <w:szCs w:val="22"/>
              </w:rPr>
              <w:t>ECMO</w:t>
            </w:r>
            <w:r>
              <w:rPr>
                <w:rFonts w:ascii="Times New Roman Regular" w:hAnsi="Times New Roman Regular" w:cs="Times New Roman Regular"/>
                <w:szCs w:val="22"/>
              </w:rPr>
              <w:t>治疗的适应症、预期获益、可能风险和并发症、替代治疗方案及费用情况，并回答了相关疑问。</w:t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szCs w:val="22"/>
              </w:rPr>
              <w:tab/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经治医师签名</w:t>
            </w:r>
          </w:p>
        </w:tc>
        <w:tc>
          <w:tcPr>
            <w:tcW w:w="2244" w:type="dxa"/>
            <w:gridSpan w:val="3"/>
            <w:shd w:val="clear" w:color="auto" w:fill="FFFFFF" w:themeFill="background1"/>
          </w:tcPr>
          <w:p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1387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4198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5E0C6B">
        <w:trPr>
          <w:trHeight w:val="69"/>
        </w:trPr>
        <w:tc>
          <w:tcPr>
            <w:tcW w:w="2662" w:type="dxa"/>
            <w:gridSpan w:val="4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上级医师签名</w:t>
            </w:r>
          </w:p>
        </w:tc>
        <w:tc>
          <w:tcPr>
            <w:tcW w:w="2244" w:type="dxa"/>
            <w:gridSpan w:val="3"/>
            <w:shd w:val="clear" w:color="auto" w:fill="FFFFFF" w:themeFill="background1"/>
          </w:tcPr>
          <w:p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1387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4198" w:type="dxa"/>
            <w:gridSpan w:val="5"/>
            <w:shd w:val="clear" w:color="auto" w:fill="FFFFFF" w:themeFill="background1"/>
          </w:tcPr>
          <w:p w:rsidR="005E0C6B" w:rsidRDefault="00FD36E8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</w:tr>
      <w:tr w:rsidR="005E0C6B">
        <w:trPr>
          <w:trHeight w:val="69"/>
        </w:trPr>
        <w:tc>
          <w:tcPr>
            <w:tcW w:w="10491" w:type="dxa"/>
            <w:gridSpan w:val="17"/>
            <w:shd w:val="clear" w:color="auto" w:fill="DAE9F7" w:themeFill="text2" w:themeFillTint="1A"/>
          </w:tcPr>
          <w:p w:rsidR="005E0C6B" w:rsidRDefault="005E0C6B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</w:p>
        </w:tc>
      </w:tr>
    </w:tbl>
    <w:p w:rsidR="005E0C6B" w:rsidRDefault="00FD36E8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通用指南（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2021-2024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《医疗机构管理条例》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《医疗纠纷预防和处理条例》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中华医学会重症医学分会规范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5E0C6B" w:rsidRDefault="00FD36E8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治疗前与患者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家属的正式知情告知与签字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5E0C6B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29C" w:rsidRDefault="003F229C">
      <w:pPr>
        <w:spacing w:line="240" w:lineRule="auto"/>
      </w:pPr>
      <w:r>
        <w:separator/>
      </w:r>
    </w:p>
  </w:endnote>
  <w:endnote w:type="continuationSeparator" w:id="0">
    <w:p w:rsidR="003F229C" w:rsidRDefault="003F22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29C" w:rsidRDefault="003F229C">
      <w:pPr>
        <w:spacing w:after="0"/>
      </w:pPr>
      <w:r>
        <w:separator/>
      </w:r>
    </w:p>
  </w:footnote>
  <w:footnote w:type="continuationSeparator" w:id="0">
    <w:p w:rsidR="003F229C" w:rsidRDefault="003F22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0B4" w:rsidRDefault="00FD36E8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7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7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1F30B4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229C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0725B"/>
    <w:rsid w:val="0051666D"/>
    <w:rsid w:val="005441CD"/>
    <w:rsid w:val="0055352E"/>
    <w:rsid w:val="00595CB4"/>
    <w:rsid w:val="00597F7E"/>
    <w:rsid w:val="005B1939"/>
    <w:rsid w:val="005B2F38"/>
    <w:rsid w:val="005C1AE6"/>
    <w:rsid w:val="005D5842"/>
    <w:rsid w:val="005E034F"/>
    <w:rsid w:val="005E0C6B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19BB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47C11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812BC"/>
    <w:rsid w:val="00D91D9F"/>
    <w:rsid w:val="00DB4331"/>
    <w:rsid w:val="00DB6683"/>
    <w:rsid w:val="00DD6637"/>
    <w:rsid w:val="00DF5D93"/>
    <w:rsid w:val="00DF5EFA"/>
    <w:rsid w:val="00E07998"/>
    <w:rsid w:val="00E15011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14E4"/>
    <w:rsid w:val="00F86675"/>
    <w:rsid w:val="00FA4B05"/>
    <w:rsid w:val="00FA7959"/>
    <w:rsid w:val="00FD36E8"/>
    <w:rsid w:val="00FE27BD"/>
    <w:rsid w:val="00FF74FF"/>
    <w:rsid w:val="55B94266"/>
    <w:rsid w:val="7F9EA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2591</Words>
  <Characters>2952</Characters>
  <Application>Microsoft Office Word</Application>
  <DocSecurity>0</DocSecurity>
  <Lines>225</Lines>
  <Paragraphs>197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BDDDB10059A34B3797D90036DBD9C8C2_12</vt:lpwstr>
  </property>
</Properties>
</file>