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B11" w:rsidRDefault="00AC0C1D" w:rsidP="00AC0C1D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26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监测与管理规范：特有的核心概念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689"/>
        <w:gridCol w:w="3969"/>
        <w:gridCol w:w="3798"/>
      </w:tblGrid>
      <w:tr w:rsidR="00074B11" w:rsidTr="00AC0C1D">
        <w:tc>
          <w:tcPr>
            <w:tcW w:w="10456" w:type="dxa"/>
            <w:gridSpan w:val="3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特有的核心概念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</w:tr>
      <w:tr w:rsidR="00074B11" w:rsidTr="00AC0C1D">
        <w:tc>
          <w:tcPr>
            <w:tcW w:w="10456" w:type="dxa"/>
            <w:gridSpan w:val="3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再循环（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Recirculation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074B11" w:rsidTr="00AC0C1D">
        <w:tc>
          <w:tcPr>
            <w:tcW w:w="2689" w:type="dxa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概念</w:t>
            </w:r>
          </w:p>
        </w:tc>
        <w:tc>
          <w:tcPr>
            <w:tcW w:w="7767" w:type="dxa"/>
            <w:gridSpan w:val="2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定义</w:t>
            </w:r>
          </w:p>
        </w:tc>
        <w:tc>
          <w:tcPr>
            <w:tcW w:w="7767" w:type="dxa"/>
            <w:gridSpan w:val="2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输出管回输的氧合血，一部分被引流管重新吸入进入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环路。</w:t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正常值</w:t>
            </w:r>
          </w:p>
        </w:tc>
        <w:tc>
          <w:tcPr>
            <w:tcW w:w="7767" w:type="dxa"/>
            <w:gridSpan w:val="2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&lt; 20%</w:t>
            </w:r>
            <w:r>
              <w:rPr>
                <w:rFonts w:ascii="Times New Roman Regular" w:hAnsi="Times New Roman Regular" w:cs="Times New Roman Regular"/>
              </w:rPr>
              <w:t>（插管尖端距离</w:t>
            </w:r>
            <w:r>
              <w:rPr>
                <w:rFonts w:ascii="Times New Roman Regular" w:hAnsi="Times New Roman Regular" w:cs="Times New Roman Regular"/>
              </w:rPr>
              <w:t xml:space="preserve"> ≥10-15 cm</w:t>
            </w:r>
            <w:r>
              <w:rPr>
                <w:rFonts w:ascii="Times New Roman Regular" w:hAnsi="Times New Roman Regular" w:cs="Times New Roman Regular"/>
              </w:rPr>
              <w:t>）。</w:t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再循环分数（</w:t>
            </w:r>
            <w:r>
              <w:rPr>
                <w:rFonts w:ascii="Times New Roman Regular" w:hAnsi="Times New Roman Regular" w:cs="Times New Roman Regular"/>
              </w:rPr>
              <w:t>Rf</w:t>
            </w:r>
            <w:r>
              <w:rPr>
                <w:rFonts w:ascii="Times New Roman Regular" w:hAnsi="Times New Roman Regular" w:cs="Times New Roman Regular"/>
              </w:rPr>
              <w:t>）估算</w:t>
            </w:r>
          </w:p>
        </w:tc>
        <w:tc>
          <w:tcPr>
            <w:tcW w:w="7767" w:type="dxa"/>
            <w:gridSpan w:val="2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Rf = (SvO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膜前</w:t>
            </w:r>
            <w:r>
              <w:rPr>
                <w:rFonts w:ascii="Times New Roman Regular" w:hAnsi="Times New Roman Regular" w:cs="Times New Roman Regular"/>
              </w:rPr>
              <w:t>-SvO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>) / (</w:t>
            </w:r>
            <w:r>
              <w:rPr>
                <w:rFonts w:ascii="Times New Roman Regular" w:hAnsi="Times New Roman Regular" w:cs="Times New Roman Regular"/>
              </w:rPr>
              <w:t>SaO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-SvO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识别信号</w:t>
            </w:r>
          </w:p>
        </w:tc>
        <w:tc>
          <w:tcPr>
            <w:tcW w:w="7767" w:type="dxa"/>
            <w:gridSpan w:val="2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AC0C1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SvO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（膜前）异常偏高</w:t>
            </w:r>
            <w:r w:rsidR="001E671F"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&gt;85%</w:t>
            </w:r>
            <w:r w:rsidR="001E671F">
              <w:rPr>
                <w:rFonts w:ascii="Times New Roman Regular" w:hAnsi="Times New Roman Regular" w:cs="Times New Roman Regular" w:hint="eastAsia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;</w:t>
            </w:r>
            <w:r w:rsidRPr="00AC0C1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上不去</w:t>
            </w:r>
            <w:r>
              <w:rPr>
                <w:rFonts w:ascii="Times New Roman Regular" w:hAnsi="Times New Roman Regular" w:cs="Times New Roman Regular"/>
              </w:rPr>
              <w:t>;</w:t>
            </w:r>
            <w:r w:rsidRPr="00AC0C1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提高流量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不改善。</w:t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处理</w:t>
            </w:r>
          </w:p>
        </w:tc>
        <w:tc>
          <w:tcPr>
            <w:tcW w:w="7767" w:type="dxa"/>
            <w:gridSpan w:val="2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AC0C1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超声确认插管位置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重新定位（拉大尖端距离）</w:t>
            </w:r>
            <w:r>
              <w:rPr>
                <w:rFonts w:ascii="Times New Roman Regular" w:hAnsi="Times New Roman Regular" w:cs="Times New Roman Regular"/>
              </w:rPr>
              <w:t>;</w:t>
            </w:r>
            <w:r w:rsidRPr="00AC0C1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降低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;</w:t>
            </w:r>
            <w:r w:rsidRPr="00AC0C1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必要时双腔插管或</w:t>
            </w:r>
            <w:r>
              <w:rPr>
                <w:rFonts w:ascii="Times New Roman Regular" w:hAnsi="Times New Roman Regular" w:cs="Times New Roman Regular"/>
              </w:rPr>
              <w:t xml:space="preserve">V-VA </w:t>
            </w:r>
            <w:r>
              <w:rPr>
                <w:rFonts w:ascii="Times New Roman Regular" w:hAnsi="Times New Roman Regular" w:cs="Times New Roman Regular"/>
              </w:rPr>
              <w:t>模式。</w:t>
            </w:r>
          </w:p>
        </w:tc>
      </w:tr>
      <w:tr w:rsidR="00074B11" w:rsidTr="00AC0C1D">
        <w:tc>
          <w:tcPr>
            <w:tcW w:w="10456" w:type="dxa"/>
            <w:gridSpan w:val="3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2.2 CO</w:t>
            </w:r>
            <w:r w:rsidRPr="00AC0C1D">
              <w:rPr>
                <w:rFonts w:ascii="Segoe UI Symbol" w:hAnsi="Segoe UI Symbol" w:cs="Times New Roman Regular"/>
                <w:b/>
                <w:bCs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滴定管理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负责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CO</w:t>
            </w:r>
            <w:r w:rsidRPr="00AC0C1D">
              <w:rPr>
                <w:rFonts w:ascii="Segoe UI Symbol" w:hAnsi="Segoe UI Symbol" w:cs="Times New Roman Regular"/>
                <w:b/>
                <w:bCs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清除，呼吸机负责氧合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这是区分两者的核心）</w:t>
            </w:r>
          </w:p>
        </w:tc>
      </w:tr>
      <w:tr w:rsidR="00074B11" w:rsidTr="00AC0C1D">
        <w:tc>
          <w:tcPr>
            <w:tcW w:w="2689" w:type="dxa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7767" w:type="dxa"/>
            <w:gridSpan w:val="2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清除取决于扫气流量</w:t>
            </w:r>
          </w:p>
        </w:tc>
        <w:tc>
          <w:tcPr>
            <w:tcW w:w="7767" w:type="dxa"/>
            <w:gridSpan w:val="2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扫气</w:t>
            </w:r>
            <w:r w:rsidRPr="00AC0C1D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= 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 w:rsidRPr="00AC0C1D">
              <w:rPr>
                <w:rFonts w:ascii="Segoe UI Symbol" w:eastAsia="等线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（几乎是线性关系）；扫气流量</w:t>
            </w:r>
            <w:r>
              <w:rPr>
                <w:rFonts w:ascii="Times New Roman Regular" w:hAnsi="Times New Roman Regular" w:cs="Times New Roman Regular"/>
              </w:rPr>
              <w:t>2-10 L/min</w:t>
            </w:r>
            <w:r>
              <w:rPr>
                <w:rFonts w:ascii="Times New Roman Regular" w:hAnsi="Times New Roman Regular" w:cs="Times New Roman Regular"/>
              </w:rPr>
              <w:t>可调。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最关键</w:t>
            </w:r>
          </w:p>
        </w:tc>
        <w:tc>
          <w:tcPr>
            <w:tcW w:w="7767" w:type="dxa"/>
            <w:gridSpan w:val="2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</w:t>
            </w:r>
            <w:r>
              <w:rPr>
                <w:rFonts w:ascii="Times New Roman Regular" w:hAnsi="Times New Roman Regular" w:cs="Times New Roman Regular"/>
              </w:rPr>
              <w:t>80-100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上机后严禁骤降至正常</w:t>
            </w:r>
            <w:r>
              <w:rPr>
                <w:rFonts w:ascii="Times New Roman Regular" w:hAnsi="Times New Roman Regular" w:cs="Times New Roman Regular"/>
              </w:rPr>
              <w:t>→ 24h</w:t>
            </w:r>
            <w:r>
              <w:rPr>
                <w:rFonts w:ascii="Times New Roman Regular" w:hAnsi="Times New Roman Regular" w:cs="Times New Roman Regular"/>
              </w:rPr>
              <w:t>内降速</w:t>
            </w:r>
            <w:r>
              <w:rPr>
                <w:rFonts w:ascii="Times New Roman Regular" w:hAnsi="Times New Roman Regular" w:cs="Times New Roman Regular"/>
              </w:rPr>
              <w:t>&lt; 10mmHg/h →</w:t>
            </w:r>
            <w:r>
              <w:rPr>
                <w:rFonts w:ascii="Times New Roman Regular" w:hAnsi="Times New Roman Regular" w:cs="Times New Roman Regular"/>
              </w:rPr>
              <w:t>防脑血流骤变。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允许性高碳酸血症</w:t>
            </w:r>
          </w:p>
        </w:tc>
        <w:tc>
          <w:tcPr>
            <w:tcW w:w="7767" w:type="dxa"/>
            <w:gridSpan w:val="2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pH ≥ 7.25</w:t>
            </w:r>
            <w:r>
              <w:rPr>
                <w:rFonts w:ascii="Times New Roman Regular" w:hAnsi="Times New Roman Regular" w:cs="Times New Roman Regular"/>
              </w:rPr>
              <w:t>可接受宽松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肺保护优先于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低碳酸血症的危害</w:t>
            </w:r>
          </w:p>
        </w:tc>
        <w:tc>
          <w:tcPr>
            <w:tcW w:w="7767" w:type="dxa"/>
            <w:gridSpan w:val="2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脑血管收缩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脑缺血</w:t>
            </w:r>
            <w:r>
              <w:rPr>
                <w:rFonts w:ascii="Times New Roman Regular" w:hAnsi="Times New Roman Regular" w:cs="Times New Roman Regular"/>
              </w:rPr>
              <w:t>→VV-ECMO</w:t>
            </w:r>
            <w:r>
              <w:rPr>
                <w:rFonts w:ascii="Times New Roman Regular" w:hAnsi="Times New Roman Regular" w:cs="Times New Roman Regular"/>
              </w:rPr>
              <w:t>中这是可避免的医源性损伤。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诊断陷阱</w:t>
            </w:r>
          </w:p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（东西综合征）</w:t>
            </w:r>
          </w:p>
        </w:tc>
        <w:tc>
          <w:tcPr>
            <w:tcW w:w="7767" w:type="dxa"/>
            <w:gridSpan w:val="2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低时，不要直接调扫气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先查膜后血气：</w:t>
            </w:r>
          </w:p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AC0C1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很低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扫气过量（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膜肺清多了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 w:rsidRPr="00AC0C1D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扫气；</w:t>
            </w:r>
          </w:p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AC0C1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患者自身过度通气（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自己吹多了</w:t>
            </w:r>
            <w:r>
              <w:rPr>
                <w:rFonts w:ascii="Times New Roman Regular" w:hAnsi="Times New Roman Regular" w:cs="Times New Roman Regular"/>
              </w:rPr>
              <w:t>":RR/VT</w:t>
            </w:r>
            <w:r>
              <w:rPr>
                <w:rFonts w:ascii="Times New Roman Regular" w:hAnsi="Times New Roman Regular" w:cs="Times New Roman Regular"/>
              </w:rPr>
              <w:t>过高、自主呼吸过强、疼痛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焦虑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酸中毒代偿）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镇静镇痛，不动扫气；</w:t>
            </w:r>
          </w:p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AC0C1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误判的后果：患者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低来自过度通气，你却下调了扫气</w:t>
            </w:r>
            <w:r>
              <w:rPr>
                <w:rFonts w:ascii="Times New Roman Regular" w:hAnsi="Times New Roman Regular" w:cs="Times New Roman Regular"/>
              </w:rPr>
              <w:t>→PaCO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不升反降或不变，真正的病因没解决。</w:t>
            </w:r>
          </w:p>
        </w:tc>
      </w:tr>
      <w:tr w:rsidR="00074B11" w:rsidTr="00AC0C1D">
        <w:tc>
          <w:tcPr>
            <w:tcW w:w="10456" w:type="dxa"/>
            <w:gridSpan w:val="3"/>
            <w:shd w:val="clear" w:color="auto" w:fill="DAE9F7" w:themeFill="text2" w:themeFillTint="1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自主呼吸的价值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074B11" w:rsidTr="00AC0C1D">
        <w:tc>
          <w:tcPr>
            <w:tcW w:w="2689" w:type="dxa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3969" w:type="dxa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优点</w:t>
            </w:r>
          </w:p>
        </w:tc>
        <w:tc>
          <w:tcPr>
            <w:tcW w:w="3798" w:type="dxa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注意事项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清醒自主呼吸</w:t>
            </w:r>
          </w:p>
        </w:tc>
        <w:tc>
          <w:tcPr>
            <w:tcW w:w="396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保留膈肌功能、减少镇静相关谵妄、可交流、可早期活动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康复</w:t>
            </w:r>
          </w:p>
        </w:tc>
        <w:tc>
          <w:tcPr>
            <w:tcW w:w="3798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需控制过强的自主呼吸（</w:t>
            </w:r>
            <w:r>
              <w:rPr>
                <w:rFonts w:ascii="Times New Roman Regular" w:hAnsi="Times New Roman Regular" w:cs="Times New Roman Regular"/>
              </w:rPr>
              <w:t>Pocc &gt; 15 cmH</w:t>
            </w:r>
            <w:r w:rsidRPr="00AC0C1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O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肺损伤风险）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自主呼吸</w:t>
            </w:r>
          </w:p>
        </w:tc>
        <w:tc>
          <w:tcPr>
            <w:tcW w:w="396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减少呼吸机相关肺损伤、改善通气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血流比</w:t>
            </w:r>
          </w:p>
        </w:tc>
        <w:tc>
          <w:tcPr>
            <w:tcW w:w="3798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PSV </w:t>
            </w:r>
            <w:r>
              <w:rPr>
                <w:rFonts w:ascii="Times New Roman Regular" w:hAnsi="Times New Roman Regular" w:cs="Times New Roman Regular"/>
              </w:rPr>
              <w:t>模式优于容控</w:t>
            </w:r>
          </w:p>
        </w:tc>
      </w:tr>
      <w:tr w:rsidR="00074B11" w:rsidTr="00AC0C1D">
        <w:tc>
          <w:tcPr>
            <w:tcW w:w="268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RASS</w:t>
            </w:r>
          </w:p>
        </w:tc>
        <w:tc>
          <w:tcPr>
            <w:tcW w:w="3969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0</w:t>
            </w:r>
            <w:r>
              <w:rPr>
                <w:rFonts w:ascii="Times New Roman Regular" w:hAnsi="Times New Roman Regular" w:cs="Times New Roman Regular"/>
              </w:rPr>
              <w:t>（可唤醒交流）</w:t>
            </w:r>
          </w:p>
        </w:tc>
        <w:tc>
          <w:tcPr>
            <w:tcW w:w="3798" w:type="dxa"/>
            <w:vAlign w:val="center"/>
          </w:tcPr>
          <w:p w:rsidR="00074B11" w:rsidRDefault="00AC0C1D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清醒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的神经评估是本模式的天然优势</w:t>
            </w:r>
          </w:p>
        </w:tc>
      </w:tr>
      <w:tr w:rsidR="001E671F" w:rsidTr="00AC0C1D">
        <w:tc>
          <w:tcPr>
            <w:tcW w:w="2689" w:type="dxa"/>
            <w:vAlign w:val="center"/>
          </w:tcPr>
          <w:p w:rsidR="001E671F" w:rsidRDefault="001E671F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vAlign w:val="center"/>
          </w:tcPr>
          <w:p w:rsidR="001E671F" w:rsidRDefault="001E671F" w:rsidP="00AC0C1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98" w:type="dxa"/>
            <w:vAlign w:val="center"/>
          </w:tcPr>
          <w:p w:rsidR="001E671F" w:rsidRDefault="001E671F" w:rsidP="00AC0C1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074B11" w:rsidRDefault="00AC0C1D" w:rsidP="00AC0C1D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:rsidR="00074B11" w:rsidRDefault="00AC0C1D" w:rsidP="00AC0C1D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:rsidR="00074B11" w:rsidRDefault="00AC0C1D" w:rsidP="00AC0C1D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CO</w:t>
      </w:r>
      <w:r w:rsidRPr="00AC0C1D">
        <w:rPr>
          <w:rFonts w:ascii="Segoe UI Symbol" w:eastAsia="楷体" w:hAnsi="Segoe UI Symbol" w:cs="Times New Roman Regular"/>
          <w:b/>
          <w:bCs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074B11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977" w:rsidRDefault="005E4977">
      <w:pPr>
        <w:spacing w:line="240" w:lineRule="auto"/>
      </w:pPr>
      <w:r>
        <w:separator/>
      </w:r>
    </w:p>
  </w:endnote>
  <w:endnote w:type="continuationSeparator" w:id="0">
    <w:p w:rsidR="005E4977" w:rsidRDefault="005E4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977" w:rsidRDefault="005E4977">
      <w:pPr>
        <w:spacing w:after="0"/>
      </w:pPr>
      <w:r>
        <w:separator/>
      </w:r>
    </w:p>
  </w:footnote>
  <w:footnote w:type="continuationSeparator" w:id="0">
    <w:p w:rsidR="005E4977" w:rsidRDefault="005E49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73E2" w:rsidRDefault="00AC0C1D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6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43578"/>
    <w:rsid w:val="00074B11"/>
    <w:rsid w:val="00095CB9"/>
    <w:rsid w:val="000A6C22"/>
    <w:rsid w:val="00106FC2"/>
    <w:rsid w:val="001976BD"/>
    <w:rsid w:val="001E3E17"/>
    <w:rsid w:val="001E671F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873B6"/>
    <w:rsid w:val="004D3534"/>
    <w:rsid w:val="004E5DC0"/>
    <w:rsid w:val="0051666D"/>
    <w:rsid w:val="0055352E"/>
    <w:rsid w:val="005C1AE6"/>
    <w:rsid w:val="005E3FFF"/>
    <w:rsid w:val="005E4977"/>
    <w:rsid w:val="005E7B31"/>
    <w:rsid w:val="00615F67"/>
    <w:rsid w:val="0066296A"/>
    <w:rsid w:val="0067489E"/>
    <w:rsid w:val="006B0AF7"/>
    <w:rsid w:val="007073E2"/>
    <w:rsid w:val="00712214"/>
    <w:rsid w:val="00724BE2"/>
    <w:rsid w:val="007468DB"/>
    <w:rsid w:val="0075642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F75BC"/>
    <w:rsid w:val="00A47BF7"/>
    <w:rsid w:val="00AC0C1D"/>
    <w:rsid w:val="00AD407A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12BB52E2"/>
    <w:rsid w:val="6F5FF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1099</Characters>
  <Application>Microsoft Office Word</Application>
  <DocSecurity>0</DocSecurity>
  <Lines>61</Lines>
  <Paragraphs>48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9912A538623D4D9FB97CCE1A21B1E86C_12</vt:lpwstr>
  </property>
</Properties>
</file>