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35662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14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ECPR（体外心肺复苏）专项流程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：预后评估及管理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  <w:gridCol w:w="2948"/>
      </w:tblGrid>
      <w:tr w14:paraId="28D225BF">
        <w:tc>
          <w:tcPr>
            <w:tcW w:w="10456" w:type="dxa"/>
            <w:gridSpan w:val="3"/>
            <w:shd w:val="clear" w:color="auto" w:fill="DAE9F7" w:themeFill="text2" w:themeFillTint="1A"/>
          </w:tcPr>
          <w:p w14:paraId="27A9669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ECPR </w:t>
            </w:r>
            <w:r>
              <w:rPr>
                <w:rFonts w:hint="default" w:ascii="Times New Roman Regular" w:hAnsi="Times New Roman Regular" w:cs="Times New Roman Regular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上机后患者预后评估</w:t>
            </w:r>
          </w:p>
        </w:tc>
      </w:tr>
      <w:tr w14:paraId="2587DB6F">
        <w:tc>
          <w:tcPr>
            <w:tcW w:w="10456" w:type="dxa"/>
            <w:gridSpan w:val="3"/>
          </w:tcPr>
          <w:p w14:paraId="5896A013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极差预后指标（需多项同时存在）</w:t>
            </w:r>
          </w:p>
        </w:tc>
      </w:tr>
      <w:tr w14:paraId="71A3649E">
        <w:tc>
          <w:tcPr>
            <w:tcW w:w="2405" w:type="dxa"/>
            <w:shd w:val="clear" w:color="auto" w:fill="DAE9F7" w:themeFill="text2" w:themeFillTint="1A"/>
          </w:tcPr>
          <w:p w14:paraId="67FA05B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14:paraId="7DB9455E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具体内容及说明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14:paraId="47A720D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时机</w:t>
            </w:r>
          </w:p>
        </w:tc>
      </w:tr>
      <w:tr w14:paraId="72DEA180">
        <w:tc>
          <w:tcPr>
            <w:tcW w:w="2405" w:type="dxa"/>
          </w:tcPr>
          <w:p w14:paraId="7D078BA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临床</w:t>
            </w:r>
          </w:p>
        </w:tc>
        <w:tc>
          <w:tcPr>
            <w:tcW w:w="5103" w:type="dxa"/>
          </w:tcPr>
          <w:p w14:paraId="2585C73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GCS≤4(无镇静+瞳孔光反射消失+角膜反射消失)</w:t>
            </w:r>
          </w:p>
        </w:tc>
        <w:tc>
          <w:tcPr>
            <w:tcW w:w="2948" w:type="dxa"/>
          </w:tcPr>
          <w:p w14:paraId="18398CE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≥72h复温停镇静后</w:t>
            </w:r>
          </w:p>
        </w:tc>
      </w:tr>
      <w:tr w14:paraId="3C16708E">
        <w:tc>
          <w:tcPr>
            <w:tcW w:w="2405" w:type="dxa"/>
            <w:vAlign w:val="center"/>
          </w:tcPr>
          <w:p w14:paraId="28483F72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电生理</w:t>
            </w:r>
          </w:p>
        </w:tc>
        <w:tc>
          <w:tcPr>
            <w:tcW w:w="5103" w:type="dxa"/>
            <w:vAlign w:val="center"/>
          </w:tcPr>
          <w:p w14:paraId="76B6C643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N20缺失(SSEP+脑电图持续背景抑制/暴发抑制)</w:t>
            </w:r>
          </w:p>
        </w:tc>
        <w:tc>
          <w:tcPr>
            <w:tcW w:w="2948" w:type="dxa"/>
            <w:vAlign w:val="center"/>
          </w:tcPr>
          <w:p w14:paraId="5CE0EDF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≥ 72h</w:t>
            </w:r>
          </w:p>
        </w:tc>
      </w:tr>
      <w:tr w14:paraId="5EA72D05">
        <w:tc>
          <w:tcPr>
            <w:tcW w:w="2405" w:type="dxa"/>
            <w:vAlign w:val="center"/>
          </w:tcPr>
          <w:p w14:paraId="155FD6F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影像</w:t>
            </w:r>
          </w:p>
        </w:tc>
        <w:tc>
          <w:tcPr>
            <w:tcW w:w="5103" w:type="dxa"/>
            <w:vAlign w:val="center"/>
          </w:tcPr>
          <w:p w14:paraId="18C5A5E2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CT/MRI：弥漫性脑水肿、灰白质分界消失、大面积脑梗死</w:t>
            </w:r>
          </w:p>
        </w:tc>
        <w:tc>
          <w:tcPr>
            <w:tcW w:w="2948" w:type="dxa"/>
            <w:vAlign w:val="center"/>
          </w:tcPr>
          <w:p w14:paraId="717989C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≥ 72h</w:t>
            </w:r>
          </w:p>
        </w:tc>
      </w:tr>
      <w:tr w14:paraId="6DD59C71">
        <w:tc>
          <w:tcPr>
            <w:tcW w:w="2405" w:type="dxa"/>
            <w:vAlign w:val="center"/>
          </w:tcPr>
          <w:p w14:paraId="484F8CCE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生物标志物</w:t>
            </w:r>
          </w:p>
        </w:tc>
        <w:tc>
          <w:tcPr>
            <w:tcW w:w="5103" w:type="dxa"/>
            <w:vAlign w:val="center"/>
          </w:tcPr>
          <w:p w14:paraId="2ED99C65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NSE &gt; 60-80 μg/L（48-72h）持续增高</w:t>
            </w:r>
          </w:p>
        </w:tc>
        <w:tc>
          <w:tcPr>
            <w:tcW w:w="2948" w:type="dxa"/>
            <w:vAlign w:val="center"/>
          </w:tcPr>
          <w:p w14:paraId="6D51953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48-72h</w:t>
            </w:r>
          </w:p>
        </w:tc>
      </w:tr>
      <w:tr w14:paraId="6A7D0303">
        <w:tc>
          <w:tcPr>
            <w:tcW w:w="7508" w:type="dxa"/>
            <w:gridSpan w:val="2"/>
            <w:shd w:val="clear" w:color="auto" w:fill="DAE9F7" w:themeFill="text2" w:themeFillTint="1A"/>
          </w:tcPr>
          <w:p w14:paraId="05A2FA3B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良好预后信号（非绝对）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14:paraId="58665FF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75A18D69">
        <w:tc>
          <w:tcPr>
            <w:tcW w:w="2405" w:type="dxa"/>
            <w:shd w:val="clear" w:color="auto" w:fill="DAE9F7" w:themeFill="text2" w:themeFillTint="1A"/>
          </w:tcPr>
          <w:p w14:paraId="2A655573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指标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14:paraId="0C8BE7E5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具体内容及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14:paraId="6E4C067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选择</w:t>
            </w:r>
          </w:p>
        </w:tc>
      </w:tr>
      <w:tr w14:paraId="35D17916">
        <w:tc>
          <w:tcPr>
            <w:tcW w:w="2405" w:type="dxa"/>
          </w:tcPr>
          <w:p w14:paraId="6FCD3D7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初始可电击心(VT/VF)</w:t>
            </w:r>
          </w:p>
        </w:tc>
        <w:tc>
          <w:tcPr>
            <w:tcW w:w="5103" w:type="dxa"/>
          </w:tcPr>
          <w:p w14:paraId="2FBB82F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最强有利因素</w:t>
            </w:r>
          </w:p>
        </w:tc>
        <w:tc>
          <w:tcPr>
            <w:tcW w:w="2948" w:type="dxa"/>
          </w:tcPr>
          <w:p w14:paraId="479B8F3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C1B8C8E">
        <w:tc>
          <w:tcPr>
            <w:tcW w:w="2405" w:type="dxa"/>
            <w:shd w:val="clear" w:color="auto" w:fill="FFFFFF" w:themeFill="background1"/>
          </w:tcPr>
          <w:p w14:paraId="3F85457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短无灌流+低灌流时间</w:t>
            </w:r>
          </w:p>
        </w:tc>
        <w:tc>
          <w:tcPr>
            <w:tcW w:w="5103" w:type="dxa"/>
            <w:shd w:val="clear" w:color="auto" w:fill="FFFFFF" w:themeFill="background1"/>
          </w:tcPr>
          <w:p w14:paraId="76C6DD3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无灌流 &lt; 3 min + CPR→ECMO &lt; 60 min</w:t>
            </w:r>
          </w:p>
        </w:tc>
        <w:tc>
          <w:tcPr>
            <w:tcW w:w="2948" w:type="dxa"/>
          </w:tcPr>
          <w:p w14:paraId="462171E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6E1F789">
        <w:tc>
          <w:tcPr>
            <w:tcW w:w="2405" w:type="dxa"/>
          </w:tcPr>
          <w:p w14:paraId="5B6A06F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乳酸快速清除</w:t>
            </w:r>
          </w:p>
        </w:tc>
        <w:tc>
          <w:tcPr>
            <w:tcW w:w="5103" w:type="dxa"/>
          </w:tcPr>
          <w:p w14:paraId="0D9AC3E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转流后 6-12h 乳酸显著下降</w:t>
            </w:r>
          </w:p>
        </w:tc>
        <w:tc>
          <w:tcPr>
            <w:tcW w:w="2948" w:type="dxa"/>
          </w:tcPr>
          <w:p w14:paraId="0559F3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CC2C295">
        <w:tc>
          <w:tcPr>
            <w:tcW w:w="2405" w:type="dxa"/>
          </w:tcPr>
          <w:p w14:paraId="206EB92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瞳孔保持有反应</w:t>
            </w:r>
          </w:p>
        </w:tc>
        <w:tc>
          <w:tcPr>
            <w:tcW w:w="5103" w:type="dxa"/>
          </w:tcPr>
          <w:p w14:paraId="52C2D77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即使在镇静+低温下仍有光反射</w:t>
            </w:r>
          </w:p>
        </w:tc>
        <w:tc>
          <w:tcPr>
            <w:tcW w:w="2948" w:type="dxa"/>
          </w:tcPr>
          <w:p w14:paraId="17D04A6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5E1F088">
        <w:tc>
          <w:tcPr>
            <w:tcW w:w="2405" w:type="dxa"/>
          </w:tcPr>
          <w:p w14:paraId="7EFEA55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NIRS 保持&gt;50%</w:t>
            </w:r>
          </w:p>
        </w:tc>
        <w:tc>
          <w:tcPr>
            <w:tcW w:w="5103" w:type="dxa"/>
          </w:tcPr>
          <w:p w14:paraId="0A1911A2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全程无大幅下降</w:t>
            </w:r>
          </w:p>
        </w:tc>
        <w:tc>
          <w:tcPr>
            <w:tcW w:w="2948" w:type="dxa"/>
          </w:tcPr>
          <w:p w14:paraId="7EC63B6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F28D245">
        <w:tc>
          <w:tcPr>
            <w:tcW w:w="2405" w:type="dxa"/>
          </w:tcPr>
          <w:p w14:paraId="5A8B55B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N20 存在</w:t>
            </w:r>
          </w:p>
        </w:tc>
        <w:tc>
          <w:tcPr>
            <w:tcW w:w="5103" w:type="dxa"/>
          </w:tcPr>
          <w:p w14:paraId="2E657042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SSEP 检测到 N20（即使延迟）</w:t>
            </w:r>
          </w:p>
        </w:tc>
        <w:tc>
          <w:tcPr>
            <w:tcW w:w="2948" w:type="dxa"/>
          </w:tcPr>
          <w:p w14:paraId="04904E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BFA8142">
        <w:tc>
          <w:tcPr>
            <w:tcW w:w="2405" w:type="dxa"/>
          </w:tcPr>
          <w:p w14:paraId="54712E8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神经系统</w:t>
            </w:r>
          </w:p>
        </w:tc>
        <w:tc>
          <w:tcPr>
            <w:tcW w:w="5103" w:type="dxa"/>
          </w:tcPr>
          <w:p w14:paraId="1513052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一周内出现痛苦表情或烦躁不安</w:t>
            </w:r>
          </w:p>
        </w:tc>
        <w:tc>
          <w:tcPr>
            <w:tcW w:w="2948" w:type="dxa"/>
          </w:tcPr>
          <w:p w14:paraId="15BA6D2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1D0A3B9">
        <w:tc>
          <w:tcPr>
            <w:tcW w:w="10456" w:type="dxa"/>
            <w:gridSpan w:val="3"/>
            <w:shd w:val="clear" w:color="auto" w:fill="DAE9F7" w:themeFill="text2" w:themeFillTint="1A"/>
          </w:tcPr>
          <w:p w14:paraId="28723E66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ECPR 与常规 ECMO 的关键区别速览</w:t>
            </w:r>
          </w:p>
        </w:tc>
      </w:tr>
      <w:tr w14:paraId="1C59DB15">
        <w:tc>
          <w:tcPr>
            <w:tcW w:w="2405" w:type="dxa"/>
            <w:shd w:val="clear" w:color="auto" w:fill="DAE9F7" w:themeFill="text2" w:themeFillTint="1A"/>
          </w:tcPr>
          <w:p w14:paraId="5840387D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维度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14:paraId="32C3F4D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ECPR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14:paraId="2293D4D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常规 VA-ECMO</w:t>
            </w:r>
          </w:p>
        </w:tc>
      </w:tr>
      <w:tr w14:paraId="278CE15C">
        <w:tc>
          <w:tcPr>
            <w:tcW w:w="2405" w:type="dxa"/>
            <w:vAlign w:val="center"/>
          </w:tcPr>
          <w:p w14:paraId="108E8EE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启动场景</w:t>
            </w:r>
          </w:p>
        </w:tc>
        <w:tc>
          <w:tcPr>
            <w:tcW w:w="5103" w:type="dxa"/>
            <w:vAlign w:val="center"/>
          </w:tcPr>
          <w:p w14:paraId="480C9F5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急诊/ICU/导管室/院外，任何地方</w:t>
            </w:r>
          </w:p>
        </w:tc>
        <w:tc>
          <w:tcPr>
            <w:tcW w:w="2948" w:type="dxa"/>
            <w:vAlign w:val="center"/>
          </w:tcPr>
          <w:p w14:paraId="27489BC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ICU/病房/手术室内</w:t>
            </w:r>
          </w:p>
        </w:tc>
      </w:tr>
      <w:tr w14:paraId="0B05E40D">
        <w:tc>
          <w:tcPr>
            <w:tcW w:w="2405" w:type="dxa"/>
            <w:vAlign w:val="center"/>
          </w:tcPr>
          <w:p w14:paraId="3B014F1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时间压力</w:t>
            </w:r>
          </w:p>
        </w:tc>
        <w:tc>
          <w:tcPr>
            <w:tcW w:w="5103" w:type="dxa"/>
            <w:vAlign w:val="center"/>
          </w:tcPr>
          <w:p w14:paraId="3C42DD5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极高压，每分钟都关键</w:t>
            </w:r>
          </w:p>
        </w:tc>
        <w:tc>
          <w:tcPr>
            <w:tcW w:w="2948" w:type="dxa"/>
            <w:vAlign w:val="center"/>
          </w:tcPr>
          <w:p w14:paraId="6C33671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相对从容</w:t>
            </w:r>
          </w:p>
        </w:tc>
      </w:tr>
      <w:tr w14:paraId="74E59314">
        <w:tc>
          <w:tcPr>
            <w:tcW w:w="2405" w:type="dxa"/>
            <w:vAlign w:val="center"/>
          </w:tcPr>
          <w:p w14:paraId="6559103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置管条件</w:t>
            </w:r>
          </w:p>
        </w:tc>
        <w:tc>
          <w:tcPr>
            <w:tcW w:w="5103" w:type="dxa"/>
            <w:vAlign w:val="center"/>
          </w:tcPr>
          <w:p w14:paraId="24D0BAA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边CPR边置管，条件艰难</w:t>
            </w:r>
          </w:p>
        </w:tc>
        <w:tc>
          <w:tcPr>
            <w:tcW w:w="2948" w:type="dxa"/>
            <w:vAlign w:val="center"/>
          </w:tcPr>
          <w:p w14:paraId="7696090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无菌、体位方便、超声引导充裕</w:t>
            </w:r>
          </w:p>
        </w:tc>
      </w:tr>
      <w:tr w14:paraId="151EBC57">
        <w:tc>
          <w:tcPr>
            <w:tcW w:w="2405" w:type="dxa"/>
            <w:vAlign w:val="center"/>
          </w:tcPr>
          <w:p w14:paraId="4BE1D41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抗凝起始</w:t>
            </w:r>
          </w:p>
        </w:tc>
        <w:tc>
          <w:tcPr>
            <w:tcW w:w="5103" w:type="dxa"/>
            <w:vAlign w:val="center"/>
          </w:tcPr>
          <w:p w14:paraId="3193690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导丝进入即给肝素(权衡出血,不抗凝血栓风险极高)</w:t>
            </w:r>
          </w:p>
        </w:tc>
        <w:tc>
          <w:tcPr>
            <w:tcW w:w="2948" w:type="dxa"/>
            <w:vAlign w:val="center"/>
          </w:tcPr>
          <w:p w14:paraId="7F30FB1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从容评估出血风险</w:t>
            </w:r>
          </w:p>
        </w:tc>
      </w:tr>
      <w:tr w14:paraId="5CF4026C">
        <w:tc>
          <w:tcPr>
            <w:tcW w:w="2405" w:type="dxa"/>
            <w:vAlign w:val="center"/>
          </w:tcPr>
          <w:p w14:paraId="4CD7EC9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体温管理</w:t>
            </w:r>
          </w:p>
        </w:tc>
        <w:tc>
          <w:tcPr>
            <w:tcW w:w="5103" w:type="dxa"/>
            <w:vAlign w:val="center"/>
          </w:tcPr>
          <w:p w14:paraId="129D5EE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TTM 33-36℃强制</w:t>
            </w:r>
          </w:p>
        </w:tc>
        <w:tc>
          <w:tcPr>
            <w:tcW w:w="2948" w:type="dxa"/>
            <w:vAlign w:val="center"/>
          </w:tcPr>
          <w:p w14:paraId="3A4DFD1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</w:rPr>
              <w:t>VA 亚低温可选</w:t>
            </w:r>
          </w:p>
        </w:tc>
      </w:tr>
      <w:tr w14:paraId="0DBE5509">
        <w:tc>
          <w:tcPr>
            <w:tcW w:w="2405" w:type="dxa"/>
            <w:vAlign w:val="center"/>
          </w:tcPr>
          <w:p w14:paraId="14CC377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神经监测强度</w:t>
            </w:r>
          </w:p>
        </w:tc>
        <w:tc>
          <w:tcPr>
            <w:tcW w:w="5103" w:type="dxa"/>
            <w:vAlign w:val="center"/>
          </w:tcPr>
          <w:p w14:paraId="7978294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最高级别，NIRS+cEEG+SSEP 全上</w:t>
            </w:r>
          </w:p>
        </w:tc>
        <w:tc>
          <w:tcPr>
            <w:tcW w:w="2948" w:type="dxa"/>
            <w:vAlign w:val="center"/>
          </w:tcPr>
          <w:p w14:paraId="11D4048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根据风险分层</w:t>
            </w:r>
          </w:p>
        </w:tc>
      </w:tr>
      <w:tr w14:paraId="6CB2B052">
        <w:tc>
          <w:tcPr>
            <w:tcW w:w="2405" w:type="dxa"/>
            <w:vAlign w:val="center"/>
          </w:tcPr>
          <w:p w14:paraId="5015426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预后不确定性</w:t>
            </w:r>
          </w:p>
        </w:tc>
        <w:tc>
          <w:tcPr>
            <w:tcW w:w="5103" w:type="dxa"/>
            <w:vAlign w:val="center"/>
          </w:tcPr>
          <w:p w14:paraId="5AA16BF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极高不确定性，没有成熟的评分系统</w:t>
            </w:r>
          </w:p>
        </w:tc>
        <w:tc>
          <w:tcPr>
            <w:tcW w:w="2948" w:type="dxa"/>
            <w:vAlign w:val="center"/>
          </w:tcPr>
          <w:p w14:paraId="7DB6E66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相对可预测（SAVE 评分）</w:t>
            </w:r>
          </w:p>
        </w:tc>
      </w:tr>
      <w:tr w14:paraId="44B392EF">
        <w:tc>
          <w:tcPr>
            <w:tcW w:w="2405" w:type="dxa"/>
            <w:vAlign w:val="center"/>
          </w:tcPr>
          <w:p w14:paraId="5D61387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撤机/终点决策</w:t>
            </w:r>
          </w:p>
        </w:tc>
        <w:tc>
          <w:tcPr>
            <w:tcW w:w="5103" w:type="dxa"/>
            <w:vAlign w:val="center"/>
          </w:tcPr>
          <w:p w14:paraId="75BFC0A2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心功能可恢复或不可恢复，需74h后预后评估决定</w:t>
            </w:r>
          </w:p>
        </w:tc>
        <w:tc>
          <w:tcPr>
            <w:tcW w:w="2948" w:type="dxa"/>
            <w:vAlign w:val="center"/>
          </w:tcPr>
          <w:p w14:paraId="584E08C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心功能恢复 → 撤机</w:t>
            </w:r>
          </w:p>
        </w:tc>
      </w:tr>
      <w:tr w14:paraId="15EEDD36">
        <w:tc>
          <w:tcPr>
            <w:tcW w:w="2405" w:type="dxa"/>
            <w:vAlign w:val="center"/>
          </w:tcPr>
          <w:p w14:paraId="09B489A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无效性评估</w:t>
            </w:r>
          </w:p>
        </w:tc>
        <w:tc>
          <w:tcPr>
            <w:tcW w:w="5103" w:type="dxa"/>
            <w:vAlign w:val="center"/>
          </w:tcPr>
          <w:p w14:paraId="6E114FB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①神经预后极差 72h 多模态确认 ②持续多器官衰竭 ③无法纠正的代谢紊乱</w:t>
            </w:r>
          </w:p>
        </w:tc>
        <w:tc>
          <w:tcPr>
            <w:tcW w:w="2948" w:type="dxa"/>
            <w:vAlign w:val="center"/>
          </w:tcPr>
          <w:p w14:paraId="292BF1F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心功能不可恢复+无移植/LVAD 指征</w:t>
            </w:r>
          </w:p>
        </w:tc>
      </w:tr>
      <w:tr w14:paraId="7718489D">
        <w:tc>
          <w:tcPr>
            <w:tcW w:w="10456" w:type="dxa"/>
            <w:gridSpan w:val="3"/>
            <w:shd w:val="clear" w:color="auto" w:fill="DAE9F7" w:themeFill="text2" w:themeFillTint="1A"/>
          </w:tcPr>
          <w:p w14:paraId="223C1C5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ECPR 团队演练要求</w:t>
            </w:r>
          </w:p>
        </w:tc>
      </w:tr>
      <w:tr w14:paraId="1E142027">
        <w:tc>
          <w:tcPr>
            <w:tcW w:w="2405" w:type="dxa"/>
            <w:shd w:val="clear" w:color="auto" w:fill="DAE9F7" w:themeFill="text2" w:themeFillTint="1A"/>
          </w:tcPr>
          <w:p w14:paraId="238C0EE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演练内容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14:paraId="4F24B30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2948" w:type="dxa"/>
            <w:shd w:val="clear" w:color="auto" w:fill="DAE9F7" w:themeFill="text2" w:themeFillTint="1A"/>
          </w:tcPr>
          <w:p w14:paraId="4DF3D3E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标准</w:t>
            </w:r>
          </w:p>
        </w:tc>
      </w:tr>
      <w:tr w14:paraId="7E1DC73B">
        <w:tc>
          <w:tcPr>
            <w:tcW w:w="2405" w:type="dxa"/>
          </w:tcPr>
          <w:p w14:paraId="63FA8C1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团队激活与就位</w:t>
            </w:r>
          </w:p>
        </w:tc>
        <w:tc>
          <w:tcPr>
            <w:tcW w:w="5103" w:type="dxa"/>
          </w:tcPr>
          <w:p w14:paraId="1DDD3AA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每月</w:t>
            </w:r>
          </w:p>
        </w:tc>
        <w:tc>
          <w:tcPr>
            <w:tcW w:w="2948" w:type="dxa"/>
          </w:tcPr>
          <w:p w14:paraId="4B1EF80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通知→到位 ≤ 10 min</w:t>
            </w:r>
          </w:p>
        </w:tc>
      </w:tr>
      <w:tr w14:paraId="2C9516FE">
        <w:tc>
          <w:tcPr>
            <w:tcW w:w="2405" w:type="dxa"/>
          </w:tcPr>
          <w:p w14:paraId="71C1623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边 CPR 边置管</w:t>
            </w:r>
          </w:p>
        </w:tc>
        <w:tc>
          <w:tcPr>
            <w:tcW w:w="5103" w:type="dxa"/>
          </w:tcPr>
          <w:p w14:paraId="22E0CDF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每季（模拟）</w:t>
            </w:r>
          </w:p>
        </w:tc>
        <w:tc>
          <w:tcPr>
            <w:tcW w:w="2948" w:type="dxa"/>
          </w:tcPr>
          <w:p w14:paraId="254A406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置管完成 ≤ 30 min</w:t>
            </w:r>
          </w:p>
        </w:tc>
      </w:tr>
      <w:tr w14:paraId="4F4152D5">
        <w:tc>
          <w:tcPr>
            <w:tcW w:w="2405" w:type="dxa"/>
          </w:tcPr>
          <w:p w14:paraId="27C132D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全流程推演</w:t>
            </w:r>
          </w:p>
        </w:tc>
        <w:tc>
          <w:tcPr>
            <w:tcW w:w="5103" w:type="dxa"/>
          </w:tcPr>
          <w:p w14:paraId="39C90CF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每季</w:t>
            </w:r>
          </w:p>
        </w:tc>
        <w:tc>
          <w:tcPr>
            <w:tcW w:w="2948" w:type="dxa"/>
          </w:tcPr>
          <w:p w14:paraId="71045BC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CPR 开始→转流 ≤ 60 min</w:t>
            </w:r>
          </w:p>
        </w:tc>
      </w:tr>
      <w:tr w14:paraId="7779AC38">
        <w:tc>
          <w:tcPr>
            <w:tcW w:w="2405" w:type="dxa"/>
          </w:tcPr>
          <w:p w14:paraId="153D74C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神经预后评估流程</w:t>
            </w:r>
          </w:p>
        </w:tc>
        <w:tc>
          <w:tcPr>
            <w:tcW w:w="5103" w:type="dxa"/>
          </w:tcPr>
          <w:p w14:paraId="71B6094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每半年</w:t>
            </w:r>
          </w:p>
        </w:tc>
        <w:tc>
          <w:tcPr>
            <w:tcW w:w="2948" w:type="dxa"/>
          </w:tcPr>
          <w:p w14:paraId="6F8FB75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多模态评估要素不遗漏</w:t>
            </w:r>
          </w:p>
        </w:tc>
      </w:tr>
    </w:tbl>
    <w:p w14:paraId="63F36DF5">
      <w:pPr>
        <w:spacing w:after="0" w:line="360" w:lineRule="auto"/>
        <w:jc w:val="both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AHA 2025 CPR &amp; ECC 指南 + ARREST 2020（Lancet）+ Prague OHCA 2022（JAMA）+ INCEPTION 2023（NEJM）+ Dennis M et al.CARES ECPR 共识（2026·JAHA）+ Morrison LJ et al.NHLBI ECPR共识（2025·JAHA）+ ELSO神经监测共识（2024）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。</w:t>
      </w:r>
    </w:p>
    <w:p w14:paraId="2B9FE258">
      <w:pPr>
        <w:spacing w:after="0" w:line="360" w:lineRule="auto"/>
        <w:jc w:val="both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ECPR 是一把双刃剑——做得好可以"起死回生"，做得不好可能只是"延长死亡"。启动前的决策质量、团队的速度、转流后的管理质量，三者缺一不可。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A6C22"/>
    <w:rsid w:val="001E3E17"/>
    <w:rsid w:val="002958E6"/>
    <w:rsid w:val="00403873"/>
    <w:rsid w:val="00436EBB"/>
    <w:rsid w:val="0051666D"/>
    <w:rsid w:val="005C1AE6"/>
    <w:rsid w:val="00724BE2"/>
    <w:rsid w:val="007468DB"/>
    <w:rsid w:val="007F1B54"/>
    <w:rsid w:val="009839B4"/>
    <w:rsid w:val="00A47BF7"/>
    <w:rsid w:val="00B57F09"/>
    <w:rsid w:val="00B73C09"/>
    <w:rsid w:val="00BB51F5"/>
    <w:rsid w:val="00C56230"/>
    <w:rsid w:val="00D30B51"/>
    <w:rsid w:val="00D344A5"/>
    <w:rsid w:val="00EB50E7"/>
    <w:rsid w:val="00F25B60"/>
    <w:rsid w:val="2EEB48CE"/>
    <w:rsid w:val="7D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804</Words>
  <Characters>1060</Characters>
  <Lines>97</Lines>
  <Paragraphs>126</Paragraphs>
  <TotalTime>285</TotalTime>
  <ScaleCrop>false</ScaleCrop>
  <LinksUpToDate>false</LinksUpToDate>
  <CharactersWithSpaces>1137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2026-09-13T20:51:06Z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FAC84550EB3A4C568BF5836B519EF369_12</vt:lpwstr>
  </property>
</Properties>
</file>