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bookmarkStart w:id="0" w:name="_GoBack"/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43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患者转运流程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：院内转运（1）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1134"/>
        <w:gridCol w:w="2976"/>
        <w:gridCol w:w="1701"/>
        <w:gridCol w:w="1418"/>
        <w:gridCol w:w="1105"/>
      </w:tblGrid>
      <w:tr w14:paraId="4DE57DDB">
        <w:tc>
          <w:tcPr>
            <w:tcW w:w="10456" w:type="dxa"/>
            <w:gridSpan w:val="6"/>
            <w:shd w:val="clear" w:color="auto" w:fill="DAE9F7" w:themeFill="text2" w:themeFillTint="1A"/>
          </w:tcPr>
          <w:p w14:paraId="3751884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一、转运类型</w:t>
            </w:r>
          </w:p>
        </w:tc>
      </w:tr>
      <w:tr w14:paraId="43946F98">
        <w:trPr>
          <w:trHeight w:val="69" w:hRule="atLeast"/>
        </w:trPr>
        <w:tc>
          <w:tcPr>
            <w:tcW w:w="2122" w:type="dxa"/>
            <w:shd w:val="clear" w:color="auto" w:fill="DAE9F7" w:themeFill="text2" w:themeFillTint="1A"/>
          </w:tcPr>
          <w:p w14:paraId="34A37CC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类型</w:t>
            </w:r>
          </w:p>
        </w:tc>
        <w:tc>
          <w:tcPr>
            <w:tcW w:w="4110" w:type="dxa"/>
            <w:gridSpan w:val="2"/>
            <w:shd w:val="clear" w:color="auto" w:fill="DAE9F7" w:themeFill="text2" w:themeFillTint="1A"/>
          </w:tcPr>
          <w:p w14:paraId="06458D7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场景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5FB2DC0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距离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14:paraId="09CDEE4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6B47FBD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风险等级</w:t>
            </w:r>
          </w:p>
        </w:tc>
      </w:tr>
      <w:tr w14:paraId="1D7F6A2F">
        <w:trPr>
          <w:trHeight w:val="362" w:hRule="atLeast"/>
        </w:trPr>
        <w:tc>
          <w:tcPr>
            <w:tcW w:w="2122" w:type="dxa"/>
          </w:tcPr>
          <w:p w14:paraId="5A4E18D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院内转运</w:t>
            </w:r>
          </w:p>
        </w:tc>
        <w:tc>
          <w:tcPr>
            <w:tcW w:w="4110" w:type="dxa"/>
            <w:gridSpan w:val="2"/>
          </w:tcPr>
          <w:p w14:paraId="1416274A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ICU→CT/导管室/手术室/其他病区</w:t>
            </w:r>
          </w:p>
        </w:tc>
        <w:tc>
          <w:tcPr>
            <w:tcW w:w="1701" w:type="dxa"/>
          </w:tcPr>
          <w:p w14:paraId="2C86619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数十~数百米</w:t>
            </w:r>
          </w:p>
        </w:tc>
        <w:tc>
          <w:tcPr>
            <w:tcW w:w="1418" w:type="dxa"/>
          </w:tcPr>
          <w:p w14:paraId="187F771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15-60 分钟</w:t>
            </w:r>
          </w:p>
        </w:tc>
        <w:tc>
          <w:tcPr>
            <w:tcW w:w="1105" w:type="dxa"/>
          </w:tcPr>
          <w:p w14:paraId="229A88D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中等</w:t>
            </w:r>
          </w:p>
        </w:tc>
      </w:tr>
      <w:tr w14:paraId="3ECFD7CE">
        <w:trPr>
          <w:trHeight w:val="69" w:hRule="atLeast"/>
        </w:trPr>
        <w:tc>
          <w:tcPr>
            <w:tcW w:w="2122" w:type="dxa"/>
          </w:tcPr>
          <w:p w14:paraId="452F638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院际转运</w:t>
            </w:r>
          </w:p>
        </w:tc>
        <w:tc>
          <w:tcPr>
            <w:tcW w:w="4110" w:type="dxa"/>
            <w:gridSpan w:val="2"/>
          </w:tcPr>
          <w:p w14:paraId="468CB7FA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ECMO中心之间转院</w:t>
            </w:r>
          </w:p>
        </w:tc>
        <w:tc>
          <w:tcPr>
            <w:tcW w:w="1701" w:type="dxa"/>
          </w:tcPr>
          <w:p w14:paraId="0EBC3A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数十~数百公里</w:t>
            </w:r>
          </w:p>
        </w:tc>
        <w:tc>
          <w:tcPr>
            <w:tcW w:w="1418" w:type="dxa"/>
          </w:tcPr>
          <w:p w14:paraId="59C0830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1-6 小时</w:t>
            </w:r>
          </w:p>
        </w:tc>
        <w:tc>
          <w:tcPr>
            <w:tcW w:w="1105" w:type="dxa"/>
          </w:tcPr>
          <w:p w14:paraId="0270DC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高</w:t>
            </w:r>
          </w:p>
        </w:tc>
      </w:tr>
      <w:tr w14:paraId="5A6D2291">
        <w:trPr>
          <w:trHeight w:val="69" w:hRule="atLeast"/>
        </w:trPr>
        <w:tc>
          <w:tcPr>
            <w:tcW w:w="2122" w:type="dxa"/>
          </w:tcPr>
          <w:p w14:paraId="70E006A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院前转运（ECPR）</w:t>
            </w:r>
          </w:p>
        </w:tc>
        <w:tc>
          <w:tcPr>
            <w:tcW w:w="4110" w:type="dxa"/>
            <w:gridSpan w:val="2"/>
          </w:tcPr>
          <w:p w14:paraId="5781B51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院外→ECMO中心</w:t>
            </w:r>
          </w:p>
        </w:tc>
        <w:tc>
          <w:tcPr>
            <w:tcW w:w="1701" w:type="dxa"/>
          </w:tcPr>
          <w:p w14:paraId="14AF318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数公里</w:t>
            </w:r>
          </w:p>
        </w:tc>
        <w:tc>
          <w:tcPr>
            <w:tcW w:w="1418" w:type="dxa"/>
          </w:tcPr>
          <w:p w14:paraId="27B823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30-90 分钟</w:t>
            </w:r>
          </w:p>
        </w:tc>
        <w:tc>
          <w:tcPr>
            <w:tcW w:w="1105" w:type="dxa"/>
          </w:tcPr>
          <w:p w14:paraId="70D9465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极高</w:t>
            </w:r>
          </w:p>
        </w:tc>
      </w:tr>
      <w:tr w14:paraId="076F0CFC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  <w:vAlign w:val="center"/>
          </w:tcPr>
          <w:p w14:paraId="0C3C7C0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二、院内转运</w:t>
            </w:r>
          </w:p>
        </w:tc>
      </w:tr>
      <w:tr w14:paraId="41ADE045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  <w:vAlign w:val="center"/>
          </w:tcPr>
          <w:p w14:paraId="0645DFF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2.1 转运决策清单——"去不去？"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593B47A7">
        <w:trPr>
          <w:trHeight w:val="69" w:hRule="atLeast"/>
        </w:trPr>
        <w:tc>
          <w:tcPr>
            <w:tcW w:w="2122" w:type="dxa"/>
            <w:shd w:val="clear" w:color="auto" w:fill="DAE9F7" w:themeFill="text2" w:themeFillTint="1A"/>
          </w:tcPr>
          <w:p w14:paraId="772D9F0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7229" w:type="dxa"/>
            <w:gridSpan w:val="4"/>
            <w:shd w:val="clear" w:color="auto" w:fill="DAE9F7" w:themeFill="text2" w:themeFillTint="1A"/>
          </w:tcPr>
          <w:p w14:paraId="2C39E77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4471B50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2CBDE285">
        <w:trPr>
          <w:trHeight w:val="69" w:hRule="atLeast"/>
        </w:trPr>
        <w:tc>
          <w:tcPr>
            <w:tcW w:w="2122" w:type="dxa"/>
          </w:tcPr>
          <w:p w14:paraId="3ABF852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必要性&gt;转运风险?</w:t>
            </w:r>
          </w:p>
        </w:tc>
        <w:tc>
          <w:tcPr>
            <w:tcW w:w="7229" w:type="dxa"/>
            <w:gridSpan w:val="4"/>
            <w:vAlign w:val="center"/>
          </w:tcPr>
          <w:p w14:paraId="6063BB0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床旁替代方案是否可行？(如肺部超声替代胸片、超声替代CT部分评估)</w:t>
            </w:r>
          </w:p>
        </w:tc>
        <w:tc>
          <w:tcPr>
            <w:tcW w:w="1105" w:type="dxa"/>
            <w:vAlign w:val="center"/>
          </w:tcPr>
          <w:p w14:paraId="6D09D1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A5B925F">
        <w:trPr>
          <w:trHeight w:val="69" w:hRule="atLeast"/>
        </w:trPr>
        <w:tc>
          <w:tcPr>
            <w:tcW w:w="2122" w:type="dxa"/>
          </w:tcPr>
          <w:p w14:paraId="249AFD3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患者足够稳定吗？</w:t>
            </w:r>
          </w:p>
        </w:tc>
        <w:tc>
          <w:tcPr>
            <w:tcW w:w="7229" w:type="dxa"/>
            <w:gridSpan w:val="4"/>
            <w:vAlign w:val="center"/>
          </w:tcPr>
          <w:p w14:paraId="68F1C88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MAP≥65、无活动性出血、氧合稳定、ECMO流量/扫气无近期波动</w:t>
            </w:r>
          </w:p>
        </w:tc>
        <w:tc>
          <w:tcPr>
            <w:tcW w:w="1105" w:type="dxa"/>
            <w:vAlign w:val="center"/>
          </w:tcPr>
          <w:p w14:paraId="1EA5D1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CEEA236">
        <w:trPr>
          <w:trHeight w:val="69" w:hRule="atLeast"/>
        </w:trPr>
        <w:tc>
          <w:tcPr>
            <w:tcW w:w="2122" w:type="dxa"/>
          </w:tcPr>
          <w:p w14:paraId="0A52915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转运团队完备吗？</w:t>
            </w:r>
          </w:p>
        </w:tc>
        <w:tc>
          <w:tcPr>
            <w:tcW w:w="7229" w:type="dxa"/>
            <w:gridSpan w:val="4"/>
          </w:tcPr>
          <w:p w14:paraId="1C9F28B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至少3人（医生+护士+灌注师/ECMO护士），人手不足不能走</w:t>
            </w:r>
          </w:p>
        </w:tc>
        <w:tc>
          <w:tcPr>
            <w:tcW w:w="1105" w:type="dxa"/>
          </w:tcPr>
          <w:p w14:paraId="20E9304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F8A1D76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716BCC5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2.2 转运团队最低配置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5BA2AFA6">
        <w:trPr>
          <w:trHeight w:val="69" w:hRule="atLeast"/>
        </w:trPr>
        <w:tc>
          <w:tcPr>
            <w:tcW w:w="3256" w:type="dxa"/>
            <w:gridSpan w:val="2"/>
            <w:shd w:val="clear" w:color="auto" w:fill="DAE9F7" w:themeFill="text2" w:themeFillTint="1A"/>
          </w:tcPr>
          <w:p w14:paraId="3B5C706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角色</w:t>
            </w:r>
          </w:p>
        </w:tc>
        <w:tc>
          <w:tcPr>
            <w:tcW w:w="6095" w:type="dxa"/>
            <w:gridSpan w:val="3"/>
            <w:shd w:val="clear" w:color="auto" w:fill="DAE9F7" w:themeFill="text2" w:themeFillTint="1A"/>
          </w:tcPr>
          <w:p w14:paraId="664D50A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职责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242933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人数</w:t>
            </w:r>
          </w:p>
        </w:tc>
      </w:tr>
      <w:tr w14:paraId="639858B0">
        <w:trPr>
          <w:trHeight w:val="69" w:hRule="atLeast"/>
        </w:trPr>
        <w:tc>
          <w:tcPr>
            <w:tcW w:w="3256" w:type="dxa"/>
            <w:gridSpan w:val="2"/>
          </w:tcPr>
          <w:p w14:paraId="014475F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转运医生（ICU/ECMO 主治）</w:t>
            </w:r>
          </w:p>
        </w:tc>
        <w:tc>
          <w:tcPr>
            <w:tcW w:w="6095" w:type="dxa"/>
            <w:gridSpan w:val="3"/>
          </w:tcPr>
          <w:p w14:paraId="42293FE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全程决策、病情变化处理、目标科室衔接</w:t>
            </w:r>
          </w:p>
        </w:tc>
        <w:tc>
          <w:tcPr>
            <w:tcW w:w="1105" w:type="dxa"/>
          </w:tcPr>
          <w:p w14:paraId="2E613E1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</w:tr>
      <w:tr w14:paraId="0A7FA337">
        <w:trPr>
          <w:trHeight w:val="69" w:hRule="atLeast"/>
        </w:trPr>
        <w:tc>
          <w:tcPr>
            <w:tcW w:w="3256" w:type="dxa"/>
            <w:gridSpan w:val="2"/>
          </w:tcPr>
          <w:p w14:paraId="4677F65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护士/灌注师</w:t>
            </w:r>
          </w:p>
        </w:tc>
        <w:tc>
          <w:tcPr>
            <w:tcW w:w="6095" w:type="dxa"/>
            <w:gridSpan w:val="3"/>
          </w:tcPr>
          <w:p w14:paraId="4B80F98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设备操作+参数监控、应急处置</w:t>
            </w:r>
          </w:p>
        </w:tc>
        <w:tc>
          <w:tcPr>
            <w:tcW w:w="1105" w:type="dxa"/>
          </w:tcPr>
          <w:p w14:paraId="226B53E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</w:tr>
      <w:tr w14:paraId="317F0EE6">
        <w:trPr>
          <w:trHeight w:val="69" w:hRule="atLeast"/>
        </w:trPr>
        <w:tc>
          <w:tcPr>
            <w:tcW w:w="3256" w:type="dxa"/>
            <w:gridSpan w:val="2"/>
          </w:tcPr>
          <w:p w14:paraId="71C0FA8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ICU 护士</w:t>
            </w:r>
          </w:p>
        </w:tc>
        <w:tc>
          <w:tcPr>
            <w:tcW w:w="6095" w:type="dxa"/>
            <w:gridSpan w:val="3"/>
          </w:tcPr>
          <w:p w14:paraId="23A47AA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生命体征监测、药物管理、管路保护</w:t>
            </w:r>
          </w:p>
        </w:tc>
        <w:tc>
          <w:tcPr>
            <w:tcW w:w="1105" w:type="dxa"/>
          </w:tcPr>
          <w:p w14:paraId="2E669C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</w:tr>
      <w:tr w14:paraId="3B0B3FFA">
        <w:trPr>
          <w:trHeight w:val="69" w:hRule="atLeast"/>
        </w:trPr>
        <w:tc>
          <w:tcPr>
            <w:tcW w:w="3256" w:type="dxa"/>
            <w:gridSpan w:val="2"/>
          </w:tcPr>
          <w:p w14:paraId="576C424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工勤/辅助</w:t>
            </w:r>
          </w:p>
        </w:tc>
        <w:tc>
          <w:tcPr>
            <w:tcW w:w="6095" w:type="dxa"/>
            <w:gridSpan w:val="3"/>
          </w:tcPr>
          <w:p w14:paraId="65A9E5F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推床、开路、电梯协调</w:t>
            </w:r>
          </w:p>
        </w:tc>
        <w:tc>
          <w:tcPr>
            <w:tcW w:w="1105" w:type="dxa"/>
          </w:tcPr>
          <w:p w14:paraId="48247E3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1-2</w:t>
            </w:r>
          </w:p>
        </w:tc>
      </w:tr>
      <w:tr w14:paraId="0DC0743F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6A139ED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2.3 转运设备核查清单（出发前必做）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59220453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2B5E3B9F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ECMO设备</w:t>
            </w:r>
          </w:p>
        </w:tc>
      </w:tr>
      <w:tr w14:paraId="0CC4E3DC">
        <w:trPr>
          <w:trHeight w:val="69" w:hRule="atLeast"/>
        </w:trPr>
        <w:tc>
          <w:tcPr>
            <w:tcW w:w="9351" w:type="dxa"/>
            <w:gridSpan w:val="5"/>
            <w:shd w:val="clear" w:color="auto" w:fill="DAE9F7" w:themeFill="text2" w:themeFillTint="1A"/>
          </w:tcPr>
          <w:p w14:paraId="559BDF1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57CA73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2E95A4DE">
        <w:trPr>
          <w:trHeight w:val="69" w:hRule="atLeast"/>
        </w:trPr>
        <w:tc>
          <w:tcPr>
            <w:tcW w:w="9351" w:type="dxa"/>
            <w:gridSpan w:val="5"/>
          </w:tcPr>
          <w:p w14:paraId="44595E2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主机（电量/电池 ≥ 80%）、UPS 已连接</w:t>
            </w:r>
          </w:p>
        </w:tc>
        <w:tc>
          <w:tcPr>
            <w:tcW w:w="1105" w:type="dxa"/>
          </w:tcPr>
          <w:p w14:paraId="337F1D5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55AB5E2">
        <w:trPr>
          <w:trHeight w:val="69" w:hRule="atLeast"/>
        </w:trPr>
        <w:tc>
          <w:tcPr>
            <w:tcW w:w="9351" w:type="dxa"/>
            <w:gridSpan w:val="5"/>
          </w:tcPr>
          <w:p w14:paraId="6559393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手摇泵（固定在转运车上，操作者触手可及）</w:t>
            </w:r>
          </w:p>
        </w:tc>
        <w:tc>
          <w:tcPr>
            <w:tcW w:w="1105" w:type="dxa"/>
          </w:tcPr>
          <w:p w14:paraId="2AF3C85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CB75111">
        <w:trPr>
          <w:trHeight w:val="69" w:hRule="atLeast"/>
        </w:trPr>
        <w:tc>
          <w:tcPr>
            <w:tcW w:w="9351" w:type="dxa"/>
            <w:gridSpan w:val="5"/>
          </w:tcPr>
          <w:p w14:paraId="68055E4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管道钳 × 4（在手边，非装包里）</w:t>
            </w:r>
          </w:p>
        </w:tc>
        <w:tc>
          <w:tcPr>
            <w:tcW w:w="1105" w:type="dxa"/>
          </w:tcPr>
          <w:p w14:paraId="30FF49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6834DD2">
        <w:trPr>
          <w:trHeight w:val="69" w:hRule="atLeast"/>
        </w:trPr>
        <w:tc>
          <w:tcPr>
            <w:tcW w:w="9351" w:type="dxa"/>
            <w:gridSpan w:val="5"/>
          </w:tcPr>
          <w:p w14:paraId="2E6EB86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氧源（氧气瓶压力 ____ MPa，估算可用 ____ min）  空氧混合器（如需要） + 接管</w:t>
            </w:r>
          </w:p>
        </w:tc>
        <w:tc>
          <w:tcPr>
            <w:tcW w:w="1105" w:type="dxa"/>
          </w:tcPr>
          <w:p w14:paraId="68A6151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0B4BFF2">
        <w:trPr>
          <w:trHeight w:val="69" w:hRule="atLeast"/>
        </w:trPr>
        <w:tc>
          <w:tcPr>
            <w:tcW w:w="9351" w:type="dxa"/>
            <w:gridSpan w:val="5"/>
          </w:tcPr>
          <w:p w14:paraId="71FDD67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变温水箱（转运专用小型，如无→关闭水箱、断开，短途可耐受 30-60 min）</w:t>
            </w:r>
          </w:p>
        </w:tc>
        <w:tc>
          <w:tcPr>
            <w:tcW w:w="1105" w:type="dxa"/>
          </w:tcPr>
          <w:p w14:paraId="321A943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32C0674">
        <w:trPr>
          <w:trHeight w:val="69" w:hRule="atLeast"/>
        </w:trPr>
        <w:tc>
          <w:tcPr>
            <w:tcW w:w="9351" w:type="dxa"/>
            <w:gridSpan w:val="5"/>
          </w:tcPr>
          <w:p w14:paraId="2DD77E0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参数显示——转运中操作者需始终能看到</w:t>
            </w:r>
          </w:p>
        </w:tc>
        <w:tc>
          <w:tcPr>
            <w:tcW w:w="1105" w:type="dxa"/>
          </w:tcPr>
          <w:p w14:paraId="3F0BCFB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F0E829F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3D1BD02F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监护与抢救</w:t>
            </w:r>
          </w:p>
        </w:tc>
      </w:tr>
      <w:tr w14:paraId="73DF4E89">
        <w:trPr>
          <w:trHeight w:val="69" w:hRule="atLeast"/>
        </w:trPr>
        <w:tc>
          <w:tcPr>
            <w:tcW w:w="9351" w:type="dxa"/>
            <w:gridSpan w:val="5"/>
            <w:shd w:val="clear" w:color="auto" w:fill="DAE9F7" w:themeFill="text2" w:themeFillTint="1A"/>
          </w:tcPr>
          <w:p w14:paraId="079B0437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60FD638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54DFC34E">
        <w:trPr>
          <w:trHeight w:val="69" w:hRule="atLeast"/>
        </w:trPr>
        <w:tc>
          <w:tcPr>
            <w:tcW w:w="9351" w:type="dxa"/>
            <w:gridSpan w:val="5"/>
          </w:tcPr>
          <w:p w14:paraId="61B383B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转运监护仪（</w:t>
            </w:r>
            <w:r>
              <w:rPr>
                <w:rFonts w:hint="default" w:ascii="Times New Roman Regular" w:hAnsi="Times New Roman Regular" w:cs="Times New Roman Regular"/>
              </w:rPr>
              <w:t>HR/MAP/SpO</w:t>
            </w:r>
            <w:r>
              <w:rPr>
                <w:rFonts w:hint="default" w:ascii="Times New Roman Regular" w:hAnsi="Times New Roman Regular" w:cs="Times New Roman Regular"/>
              </w:rPr>
              <w:t>₂</w:t>
            </w:r>
            <w:r>
              <w:rPr>
                <w:rFonts w:hint="default" w:ascii="Times New Roman Regular" w:hAnsi="Times New Roman Regular" w:cs="Times New Roman Regular"/>
              </w:rPr>
              <w:t>/etCO</w:t>
            </w:r>
            <w:r>
              <w:rPr>
                <w:rFonts w:hint="default" w:ascii="Times New Roman Regular" w:hAnsi="Times New Roman Regular" w:cs="Times New Roman Regular"/>
              </w:rPr>
              <w:t>₂</w:t>
            </w:r>
            <w:r>
              <w:rPr>
                <w:rFonts w:hint="default" w:ascii="Times New Roman Regular" w:hAnsi="Times New Roman Regular" w:cs="Times New Roman Regular"/>
              </w:rPr>
              <w:t>，ECG 导联）</w:t>
            </w:r>
          </w:p>
        </w:tc>
        <w:tc>
          <w:tcPr>
            <w:tcW w:w="1105" w:type="dxa"/>
          </w:tcPr>
          <w:p w14:paraId="3ED0372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E2F93A2">
        <w:trPr>
          <w:trHeight w:val="69" w:hRule="atLeast"/>
        </w:trPr>
        <w:tc>
          <w:tcPr>
            <w:tcW w:w="9351" w:type="dxa"/>
            <w:gridSpan w:val="5"/>
          </w:tcPr>
          <w:p w14:paraId="45E4B73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转运呼吸机（如机械通气），电量 ____%</w:t>
            </w:r>
          </w:p>
        </w:tc>
        <w:tc>
          <w:tcPr>
            <w:tcW w:w="1105" w:type="dxa"/>
          </w:tcPr>
          <w:p w14:paraId="725627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D9E0DF3">
        <w:trPr>
          <w:trHeight w:val="69" w:hRule="atLeast"/>
        </w:trPr>
        <w:tc>
          <w:tcPr>
            <w:tcW w:w="9351" w:type="dxa"/>
            <w:gridSpan w:val="5"/>
          </w:tcPr>
          <w:p w14:paraId="3560EBD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除颤仪（充满电，电极片贴在患者身上）</w:t>
            </w:r>
          </w:p>
        </w:tc>
        <w:tc>
          <w:tcPr>
            <w:tcW w:w="1105" w:type="dxa"/>
          </w:tcPr>
          <w:p w14:paraId="6244347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3A2C3F4">
        <w:trPr>
          <w:trHeight w:val="69" w:hRule="atLeast"/>
        </w:trPr>
        <w:tc>
          <w:tcPr>
            <w:tcW w:w="9351" w:type="dxa"/>
            <w:gridSpan w:val="5"/>
          </w:tcPr>
          <w:p w14:paraId="7B8CC4C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抢救药盒：肾上腺素/去甲肾上腺素/胺碘酮/阿托品/肝素/鱼精蛋白</w:t>
            </w:r>
          </w:p>
        </w:tc>
        <w:tc>
          <w:tcPr>
            <w:tcW w:w="1105" w:type="dxa"/>
          </w:tcPr>
          <w:p w14:paraId="62654F5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ED22FF0">
        <w:trPr>
          <w:trHeight w:val="69" w:hRule="atLeast"/>
        </w:trPr>
        <w:tc>
          <w:tcPr>
            <w:tcW w:w="9351" w:type="dxa"/>
            <w:gridSpan w:val="5"/>
          </w:tcPr>
          <w:p w14:paraId="5CF0D0C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便携式吸引器</w:t>
            </w:r>
          </w:p>
        </w:tc>
        <w:tc>
          <w:tcPr>
            <w:tcW w:w="1105" w:type="dxa"/>
          </w:tcPr>
          <w:p w14:paraId="1D85BDE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10C2DCB">
        <w:trPr>
          <w:trHeight w:val="69" w:hRule="atLeast"/>
        </w:trPr>
        <w:tc>
          <w:tcPr>
            <w:tcW w:w="9351" w:type="dxa"/>
            <w:gridSpan w:val="5"/>
          </w:tcPr>
          <w:p w14:paraId="7D3A892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输液泵/注射泵（电池充足），确保血管活性药不间断</w:t>
            </w:r>
          </w:p>
        </w:tc>
        <w:tc>
          <w:tcPr>
            <w:tcW w:w="1105" w:type="dxa"/>
          </w:tcPr>
          <w:p w14:paraId="49AC462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AB6CB51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4234B2A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患者准备</w:t>
            </w:r>
          </w:p>
        </w:tc>
      </w:tr>
      <w:tr w14:paraId="79EEF352">
        <w:trPr>
          <w:trHeight w:val="69" w:hRule="atLeast"/>
        </w:trPr>
        <w:tc>
          <w:tcPr>
            <w:tcW w:w="9351" w:type="dxa"/>
            <w:gridSpan w:val="5"/>
            <w:shd w:val="clear" w:color="auto" w:fill="DAE9F7" w:themeFill="text2" w:themeFillTint="1A"/>
          </w:tcPr>
          <w:p w14:paraId="798C623F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19A2143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234ADD16">
        <w:trPr>
          <w:trHeight w:val="69" w:hRule="atLeast"/>
        </w:trPr>
        <w:tc>
          <w:tcPr>
            <w:tcW w:w="9351" w:type="dxa"/>
            <w:gridSpan w:val="5"/>
          </w:tcPr>
          <w:p w14:paraId="18595F6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所有管路连接处扎带已加固</w:t>
            </w:r>
          </w:p>
        </w:tc>
        <w:tc>
          <w:tcPr>
            <w:tcW w:w="1105" w:type="dxa"/>
          </w:tcPr>
          <w:p w14:paraId="37ADD82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531A494">
        <w:trPr>
          <w:trHeight w:val="69" w:hRule="atLeast"/>
        </w:trPr>
        <w:tc>
          <w:tcPr>
            <w:tcW w:w="9351" w:type="dxa"/>
            <w:gridSpan w:val="5"/>
          </w:tcPr>
          <w:p w14:paraId="5F22763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插管深度已标记（肉眼可见的标记线）</w:t>
            </w:r>
          </w:p>
        </w:tc>
        <w:tc>
          <w:tcPr>
            <w:tcW w:w="1105" w:type="dxa"/>
          </w:tcPr>
          <w:p w14:paraId="481D401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528BE83">
        <w:trPr>
          <w:trHeight w:val="69" w:hRule="atLeast"/>
        </w:trPr>
        <w:tc>
          <w:tcPr>
            <w:tcW w:w="9351" w:type="dxa"/>
            <w:gridSpan w:val="5"/>
          </w:tcPr>
          <w:p w14:paraId="0A3773D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管路无张力/无牵拉——转运体位下管路自然弯曲、不紧绷</w:t>
            </w:r>
          </w:p>
        </w:tc>
        <w:tc>
          <w:tcPr>
            <w:tcW w:w="1105" w:type="dxa"/>
          </w:tcPr>
          <w:p w14:paraId="0C62CB9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E9317C7">
        <w:trPr>
          <w:trHeight w:val="69" w:hRule="atLeast"/>
        </w:trPr>
        <w:tc>
          <w:tcPr>
            <w:tcW w:w="9351" w:type="dxa"/>
            <w:gridSpan w:val="5"/>
          </w:tcPr>
          <w:p w14:paraId="5668007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镇静镇痛充分（避免转运中躁动导致管路脱出）</w:t>
            </w:r>
          </w:p>
        </w:tc>
        <w:tc>
          <w:tcPr>
            <w:tcW w:w="1105" w:type="dxa"/>
          </w:tcPr>
          <w:p w14:paraId="6EE7682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85747A6">
        <w:trPr>
          <w:trHeight w:val="69" w:hRule="atLeast"/>
        </w:trPr>
        <w:tc>
          <w:tcPr>
            <w:tcW w:w="9351" w:type="dxa"/>
            <w:gridSpan w:val="5"/>
          </w:tcPr>
          <w:p w14:paraId="104EB8B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必要时提前肌松（转运中无法处理管路脱出）</w:t>
            </w:r>
          </w:p>
        </w:tc>
        <w:tc>
          <w:tcPr>
            <w:tcW w:w="1105" w:type="dxa"/>
          </w:tcPr>
          <w:p w14:paraId="3710BE0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EC65F24">
        <w:trPr>
          <w:trHeight w:val="69" w:hRule="atLeast"/>
        </w:trPr>
        <w:tc>
          <w:tcPr>
            <w:tcW w:w="9351" w:type="dxa"/>
            <w:gridSpan w:val="5"/>
          </w:tcPr>
          <w:p w14:paraId="0C8C01A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ACT 已查，在目标范围</w:t>
            </w:r>
          </w:p>
        </w:tc>
        <w:tc>
          <w:tcPr>
            <w:tcW w:w="1105" w:type="dxa"/>
          </w:tcPr>
          <w:p w14:paraId="72284AB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147C95F">
        <w:trPr>
          <w:trHeight w:val="69" w:hRule="atLeast"/>
        </w:trPr>
        <w:tc>
          <w:tcPr>
            <w:tcW w:w="9351" w:type="dxa"/>
            <w:gridSpan w:val="5"/>
          </w:tcPr>
          <w:p w14:paraId="3DF75F6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Hb/PLT 已查，血制品已备</w:t>
            </w:r>
          </w:p>
        </w:tc>
        <w:tc>
          <w:tcPr>
            <w:tcW w:w="1105" w:type="dxa"/>
          </w:tcPr>
          <w:p w14:paraId="5613D10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39EB300">
        <w:trPr>
          <w:trHeight w:val="69" w:hRule="atLeast"/>
        </w:trPr>
        <w:tc>
          <w:tcPr>
            <w:tcW w:w="9351" w:type="dxa"/>
            <w:gridSpan w:val="5"/>
          </w:tcPr>
          <w:p w14:paraId="358F327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转运途中无法采血→ 出发前完成最近一次血气+ACT</w:t>
            </w:r>
          </w:p>
        </w:tc>
        <w:tc>
          <w:tcPr>
            <w:tcW w:w="1105" w:type="dxa"/>
          </w:tcPr>
          <w:p w14:paraId="518F5AE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</w:tbl>
    <w:p w14:paraId="2D0065CC">
      <w:pP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核心原则：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转运 ≠ 移动——是移动中的 ICU。安全第一，速度第二。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bookmarkEnd w:id="0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43578"/>
    <w:rsid w:val="00095CB9"/>
    <w:rsid w:val="000A6C22"/>
    <w:rsid w:val="000C4347"/>
    <w:rsid w:val="00106FC2"/>
    <w:rsid w:val="001976BD"/>
    <w:rsid w:val="001B1825"/>
    <w:rsid w:val="001E3E1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F7C4E"/>
    <w:rsid w:val="00403873"/>
    <w:rsid w:val="00420164"/>
    <w:rsid w:val="00436EBB"/>
    <w:rsid w:val="0045511D"/>
    <w:rsid w:val="004D3534"/>
    <w:rsid w:val="004E5DC0"/>
    <w:rsid w:val="004E781A"/>
    <w:rsid w:val="00504185"/>
    <w:rsid w:val="0051666D"/>
    <w:rsid w:val="005441CD"/>
    <w:rsid w:val="0055352E"/>
    <w:rsid w:val="005C1AE6"/>
    <w:rsid w:val="005E034F"/>
    <w:rsid w:val="005E3FFF"/>
    <w:rsid w:val="005E73E4"/>
    <w:rsid w:val="00615F67"/>
    <w:rsid w:val="0066296A"/>
    <w:rsid w:val="0067489E"/>
    <w:rsid w:val="006A41B1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774FB"/>
    <w:rsid w:val="009839B4"/>
    <w:rsid w:val="0098450C"/>
    <w:rsid w:val="009B0B4D"/>
    <w:rsid w:val="009C7446"/>
    <w:rsid w:val="009D0729"/>
    <w:rsid w:val="009F75BC"/>
    <w:rsid w:val="00A04832"/>
    <w:rsid w:val="00A34361"/>
    <w:rsid w:val="00A47BF7"/>
    <w:rsid w:val="00AC0B4A"/>
    <w:rsid w:val="00AD407A"/>
    <w:rsid w:val="00AD480D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0730B"/>
    <w:rsid w:val="00D271CA"/>
    <w:rsid w:val="00D30B51"/>
    <w:rsid w:val="00D344A5"/>
    <w:rsid w:val="00D718EE"/>
    <w:rsid w:val="00D812BC"/>
    <w:rsid w:val="00DF5EFA"/>
    <w:rsid w:val="00E07998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1B76742B"/>
    <w:rsid w:val="FF738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817</Words>
  <Characters>944</Characters>
  <Lines>68</Lines>
  <Paragraphs>113</Paragraphs>
  <TotalTime>600</TotalTime>
  <ScaleCrop>false</ScaleCrop>
  <LinksUpToDate>false</LinksUpToDate>
  <CharactersWithSpaces>991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2026-09-13T22:28:31Z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83DF37C5923445908D44C4329B3C0597_12</vt:lpwstr>
  </property>
</Properties>
</file>