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04F2" w14:textId="77777777" w:rsidR="002936F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8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  <w:proofErr w:type="gramEnd"/>
    </w:p>
    <w:tbl>
      <w:tblPr>
        <w:tblStyle w:val="ab"/>
        <w:tblW w:w="10485" w:type="dxa"/>
        <w:tblLook w:val="04A0" w:firstRow="1" w:lastRow="0" w:firstColumn="1" w:lastColumn="0" w:noHBand="0" w:noVBand="1"/>
      </w:tblPr>
      <w:tblGrid>
        <w:gridCol w:w="1129"/>
        <w:gridCol w:w="1418"/>
        <w:gridCol w:w="2835"/>
        <w:gridCol w:w="850"/>
        <w:gridCol w:w="709"/>
        <w:gridCol w:w="250"/>
        <w:gridCol w:w="459"/>
        <w:gridCol w:w="1701"/>
        <w:gridCol w:w="567"/>
        <w:gridCol w:w="567"/>
      </w:tblGrid>
      <w:tr w:rsidR="002936FF" w14:paraId="521E6EE6" w14:textId="77777777">
        <w:trPr>
          <w:trHeight w:val="69"/>
        </w:trPr>
        <w:tc>
          <w:tcPr>
            <w:tcW w:w="1129" w:type="dxa"/>
            <w:shd w:val="clear" w:color="auto" w:fill="DAE9F7" w:themeFill="text2" w:themeFillTint="1A"/>
          </w:tcPr>
          <w:p w14:paraId="40929FB1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5103" w:type="dxa"/>
            <w:gridSpan w:val="3"/>
            <w:shd w:val="clear" w:color="auto" w:fill="DAE9F7" w:themeFill="text2" w:themeFillTint="1A"/>
          </w:tcPr>
          <w:p w14:paraId="540512BB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gridSpan w:val="3"/>
            <w:shd w:val="clear" w:color="auto" w:fill="DAE9F7" w:themeFill="text2" w:themeFillTint="1A"/>
          </w:tcPr>
          <w:p w14:paraId="61AC6A12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14:paraId="2E6E2216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2936FF" w14:paraId="453E293C" w14:textId="77777777">
        <w:trPr>
          <w:trHeight w:val="69"/>
        </w:trPr>
        <w:tc>
          <w:tcPr>
            <w:tcW w:w="1129" w:type="dxa"/>
            <w:shd w:val="clear" w:color="auto" w:fill="FFFFFF" w:themeFill="background1"/>
          </w:tcPr>
          <w:p w14:paraId="74913D47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14:paraId="02E8B0D4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gridSpan w:val="3"/>
            <w:shd w:val="clear" w:color="auto" w:fill="FFFFFF" w:themeFill="background1"/>
          </w:tcPr>
          <w:p w14:paraId="33D45503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3CE1D12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</w:tr>
      <w:tr w:rsidR="002936FF" w14:paraId="06DF11CC" w14:textId="77777777">
        <w:trPr>
          <w:trHeight w:val="69"/>
        </w:trPr>
        <w:tc>
          <w:tcPr>
            <w:tcW w:w="1129" w:type="dxa"/>
            <w:shd w:val="clear" w:color="auto" w:fill="FFFFFF" w:themeFill="background1"/>
          </w:tcPr>
          <w:p w14:paraId="7CC0B9A3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启动场景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14:paraId="089E9010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普通</w:t>
            </w:r>
            <w:r>
              <w:rPr>
                <w:rFonts w:ascii="Times New Roman Regular" w:hAnsi="Times New Roman Regular" w:cs="Times New Roman Regular"/>
              </w:rPr>
              <w:t>VA□ECPR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心跳骤停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术中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术后脱机困难</w:t>
            </w:r>
          </w:p>
        </w:tc>
        <w:tc>
          <w:tcPr>
            <w:tcW w:w="1418" w:type="dxa"/>
            <w:gridSpan w:val="3"/>
            <w:shd w:val="clear" w:color="auto" w:fill="FFFFFF" w:themeFill="background1"/>
          </w:tcPr>
          <w:p w14:paraId="46097461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3C27A69" w14:textId="77777777" w:rsidR="002936FF" w:rsidRDefault="00000000">
            <w:pPr>
              <w:spacing w:after="0" w:line="240" w:lineRule="auto"/>
              <w:ind w:firstLineChars="300" w:firstLine="660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2936FF" w14:paraId="2A9F6C98" w14:textId="77777777">
        <w:trPr>
          <w:trHeight w:val="69"/>
        </w:trPr>
        <w:tc>
          <w:tcPr>
            <w:tcW w:w="10485" w:type="dxa"/>
            <w:gridSpan w:val="10"/>
            <w:shd w:val="clear" w:color="auto" w:fill="DAE9F7" w:themeFill="text2" w:themeFillTint="1A"/>
          </w:tcPr>
          <w:p w14:paraId="36BA7821" w14:textId="77777777" w:rsidR="002936FF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第一步：绝对禁忌筛查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任何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一项勾选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通常不建议启动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VA-ECMO)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936FF" w14:paraId="59A18906" w14:textId="77777777">
        <w:trPr>
          <w:trHeight w:val="69"/>
        </w:trPr>
        <w:tc>
          <w:tcPr>
            <w:tcW w:w="9351" w:type="dxa"/>
            <w:gridSpan w:val="8"/>
            <w:shd w:val="clear" w:color="auto" w:fill="DAE9F7" w:themeFill="text2" w:themeFillTint="1A"/>
          </w:tcPr>
          <w:p w14:paraId="4115DE8E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筛查项目</w:t>
            </w:r>
          </w:p>
        </w:tc>
        <w:tc>
          <w:tcPr>
            <w:tcW w:w="567" w:type="dxa"/>
            <w:shd w:val="clear" w:color="auto" w:fill="DAE9F7" w:themeFill="text2" w:themeFillTint="1A"/>
            <w:vAlign w:val="center"/>
          </w:tcPr>
          <w:p w14:paraId="7F07D788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是</w:t>
            </w:r>
          </w:p>
        </w:tc>
        <w:tc>
          <w:tcPr>
            <w:tcW w:w="567" w:type="dxa"/>
            <w:shd w:val="clear" w:color="auto" w:fill="DAE9F7" w:themeFill="text2" w:themeFillTint="1A"/>
            <w:vAlign w:val="center"/>
          </w:tcPr>
          <w:p w14:paraId="6AE47676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否</w:t>
            </w:r>
          </w:p>
        </w:tc>
      </w:tr>
      <w:tr w:rsidR="002936FF" w14:paraId="45999AAC" w14:textId="77777777">
        <w:trPr>
          <w:trHeight w:val="69"/>
        </w:trPr>
        <w:tc>
          <w:tcPr>
            <w:tcW w:w="9351" w:type="dxa"/>
            <w:gridSpan w:val="8"/>
            <w:shd w:val="clear" w:color="auto" w:fill="FFFFFF" w:themeFill="background1"/>
          </w:tcPr>
          <w:p w14:paraId="25128445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存在致命性且不可逆原发疾病，或预期寿命极差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如</w:t>
            </w:r>
            <w:proofErr w:type="gramEnd"/>
            <w:r>
              <w:rPr>
                <w:rFonts w:ascii="Times New Roman Regular" w:hAnsi="Times New Roman Regular" w:cs="Times New Roman Regular"/>
              </w:rPr>
              <w:t>终末期恶性肿瘤、慢性器官衰竭终末期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等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26923C8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68E8BE5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14:paraId="7C64E095" w14:textId="77777777">
        <w:trPr>
          <w:trHeight w:val="69"/>
        </w:trPr>
        <w:tc>
          <w:tcPr>
            <w:tcW w:w="9351" w:type="dxa"/>
            <w:gridSpan w:val="8"/>
            <w:shd w:val="clear" w:color="auto" w:fill="FFFFFF" w:themeFill="background1"/>
          </w:tcPr>
          <w:p w14:paraId="30CF8117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心脏功能基本无恢复可能，且无心脏移植或长期</w:t>
            </w:r>
            <w:r>
              <w:rPr>
                <w:rFonts w:ascii="Times New Roman Regular" w:hAnsi="Times New Roman Regular" w:cs="Times New Roman Regular"/>
              </w:rPr>
              <w:t>LVAD</w:t>
            </w:r>
            <w:r>
              <w:rPr>
                <w:rFonts w:ascii="Times New Roman Regular" w:hAnsi="Times New Roman Regular" w:cs="Times New Roman Regular"/>
              </w:rPr>
              <w:t>指征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982992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F7F9431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14:paraId="5BCFD8CA" w14:textId="77777777">
        <w:trPr>
          <w:trHeight w:val="69"/>
        </w:trPr>
        <w:tc>
          <w:tcPr>
            <w:tcW w:w="9351" w:type="dxa"/>
            <w:gridSpan w:val="8"/>
            <w:shd w:val="clear" w:color="auto" w:fill="FFFFFF" w:themeFill="background1"/>
          </w:tcPr>
          <w:p w14:paraId="4508AA97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人工机械主动脉瓣（外周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时瓣叶不开放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瓣膜血栓风险极高）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885436F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B78FEB3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14:paraId="57EC2387" w14:textId="77777777">
        <w:trPr>
          <w:trHeight w:val="69"/>
        </w:trPr>
        <w:tc>
          <w:tcPr>
            <w:tcW w:w="9351" w:type="dxa"/>
            <w:gridSpan w:val="8"/>
            <w:shd w:val="clear" w:color="auto" w:fill="FFFFFF" w:themeFill="background1"/>
          </w:tcPr>
          <w:p w14:paraId="4FBCAD53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严重不可逆神经系统损伤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如</w:t>
            </w:r>
            <w:proofErr w:type="gramEnd"/>
            <w:r>
              <w:rPr>
                <w:rFonts w:ascii="Times New Roman Regular" w:hAnsi="Times New Roman Regular" w:cs="Times New Roman Regular"/>
              </w:rPr>
              <w:t>脑死亡、全脑缺氧严重脑损伤、广泛脑创伤或大面积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脑出血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452313B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0376360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14:paraId="53A37065" w14:textId="77777777">
        <w:trPr>
          <w:trHeight w:val="69"/>
        </w:trPr>
        <w:tc>
          <w:tcPr>
            <w:tcW w:w="9351" w:type="dxa"/>
            <w:gridSpan w:val="8"/>
            <w:shd w:val="clear" w:color="auto" w:fill="FFFFFF" w:themeFill="background1"/>
          </w:tcPr>
          <w:p w14:paraId="191BE117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急性</w:t>
            </w: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型主动脉夹层（术前）</w:t>
            </w:r>
            <w:r>
              <w:rPr>
                <w:rFonts w:ascii="Times New Roman Regular" w:hAnsi="Times New Roman Regular" w:cs="Times New Roman Regular"/>
              </w:rPr>
              <w:t>/B</w:t>
            </w:r>
            <w:r>
              <w:rPr>
                <w:rFonts w:ascii="Times New Roman Regular" w:hAnsi="Times New Roman Regular" w:cs="Times New Roman Regular"/>
              </w:rPr>
              <w:t>型夹层伴广泛分支受累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D96EA2C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1A28A62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14:paraId="028C1775" w14:textId="77777777">
        <w:trPr>
          <w:trHeight w:val="69"/>
        </w:trPr>
        <w:tc>
          <w:tcPr>
            <w:tcW w:w="9351" w:type="dxa"/>
            <w:gridSpan w:val="8"/>
            <w:shd w:val="clear" w:color="auto" w:fill="FFFFFF" w:themeFill="background1"/>
          </w:tcPr>
          <w:p w14:paraId="401BC5A2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严重的、无法控制的活动性出血或不可逆的凝血功能障碍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479AF39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B43C93D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936FF" w14:paraId="0A10D408" w14:textId="77777777">
        <w:trPr>
          <w:trHeight w:val="69"/>
        </w:trPr>
        <w:tc>
          <w:tcPr>
            <w:tcW w:w="10485" w:type="dxa"/>
            <w:gridSpan w:val="10"/>
            <w:shd w:val="clear" w:color="auto" w:fill="FFFFFF" w:themeFill="background1"/>
          </w:tcPr>
          <w:p w14:paraId="536CA55D" w14:textId="5A55A588" w:rsidR="002936FF" w:rsidRDefault="00000000" w:rsidP="00D443C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有任何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停止评估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不适合。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ECPR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分钟内做</w:t>
            </w:r>
            <w:r w:rsidR="00D443C5">
              <w:rPr>
                <w:rFonts w:ascii="Times New Roman Regular" w:hAnsi="Times New Roman Regular" w:cs="Times New Roman Regular" w:hint="eastAsia"/>
                <w:b/>
                <w:bCs/>
              </w:rPr>
              <w:t>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判断，无绝对禁忌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立即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不延迟。</w:t>
            </w:r>
          </w:p>
        </w:tc>
      </w:tr>
      <w:tr w:rsidR="002936FF" w14:paraId="7ECFE5BA" w14:textId="77777777">
        <w:trPr>
          <w:trHeight w:val="69"/>
        </w:trPr>
        <w:tc>
          <w:tcPr>
            <w:tcW w:w="10485" w:type="dxa"/>
            <w:gridSpan w:val="10"/>
            <w:shd w:val="clear" w:color="auto" w:fill="DAE9F7" w:themeFill="text2" w:themeFillTint="1A"/>
          </w:tcPr>
          <w:p w14:paraId="42A2E8F5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第二步：难治性心源性休克指标评估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[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已给予最佳药物治疗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容量优化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血管活性药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正性肌力药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仍无改善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]</w:t>
            </w:r>
          </w:p>
        </w:tc>
      </w:tr>
      <w:tr w:rsidR="002936FF" w14:paraId="72946BCF" w14:textId="77777777">
        <w:trPr>
          <w:trHeight w:val="69"/>
        </w:trPr>
        <w:tc>
          <w:tcPr>
            <w:tcW w:w="10485" w:type="dxa"/>
            <w:gridSpan w:val="10"/>
            <w:shd w:val="clear" w:color="auto" w:fill="DAE9F7" w:themeFill="text2" w:themeFillTint="1A"/>
          </w:tcPr>
          <w:p w14:paraId="08AD11E6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起效时间判断（不需一律等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936FF" w14:paraId="5246526D" w14:textId="77777777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42F8DA70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14:paraId="5FE0C670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最短观察时间</w:t>
            </w:r>
          </w:p>
        </w:tc>
        <w:tc>
          <w:tcPr>
            <w:tcW w:w="3544" w:type="dxa"/>
            <w:gridSpan w:val="5"/>
            <w:shd w:val="clear" w:color="auto" w:fill="FFFFFF" w:themeFill="background1"/>
          </w:tcPr>
          <w:p w14:paraId="4D29A907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2936FF" w14:paraId="505E3C56" w14:textId="77777777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6ED4F41D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>PE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7AA5F88A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2-3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544" w:type="dxa"/>
            <w:gridSpan w:val="5"/>
            <w:shd w:val="clear" w:color="auto" w:fill="FFFFFF" w:themeFill="background1"/>
            <w:vAlign w:val="center"/>
          </w:tcPr>
          <w:p w14:paraId="4C3CB7A6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病情可急剧恶化，不宜久等</w:t>
            </w:r>
          </w:p>
        </w:tc>
      </w:tr>
      <w:tr w:rsidR="002936FF" w14:paraId="50105854" w14:textId="77777777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4A3D91B3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AMI</w:t>
            </w:r>
            <w:r>
              <w:rPr>
                <w:rFonts w:ascii="Times New Roman Regular" w:hAnsi="Times New Roman Regular" w:cs="Times New Roman Regular"/>
              </w:rPr>
              <w:t>心源性休克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终末期心肌病急性失代偿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370B4D6E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3-6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3544" w:type="dxa"/>
            <w:gridSpan w:val="5"/>
            <w:shd w:val="clear" w:color="auto" w:fill="FFFFFF" w:themeFill="background1"/>
            <w:vAlign w:val="center"/>
          </w:tcPr>
          <w:p w14:paraId="47A640CA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需确认对药物</w:t>
            </w:r>
            <w:r>
              <w:rPr>
                <w:rFonts w:ascii="Times New Roman Regular" w:hAnsi="Times New Roman Regular" w:cs="Times New Roman Regular"/>
              </w:rPr>
              <w:t>+IABP</w:t>
            </w:r>
            <w:r>
              <w:rPr>
                <w:rFonts w:ascii="Times New Roman Regular" w:hAnsi="Times New Roman Regular" w:cs="Times New Roman Regular"/>
              </w:rPr>
              <w:t>无效</w:t>
            </w:r>
          </w:p>
        </w:tc>
      </w:tr>
      <w:tr w:rsidR="002936FF" w14:paraId="0DD4954A" w14:textId="77777777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  <w:vAlign w:val="center"/>
          </w:tcPr>
          <w:p w14:paraId="1E196B47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（心跳骤停）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503557B0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不适用此标准</w:t>
            </w:r>
          </w:p>
        </w:tc>
        <w:tc>
          <w:tcPr>
            <w:tcW w:w="3544" w:type="dxa"/>
            <w:gridSpan w:val="5"/>
            <w:shd w:val="clear" w:color="auto" w:fill="FFFFFF" w:themeFill="background1"/>
            <w:vAlign w:val="center"/>
          </w:tcPr>
          <w:p w14:paraId="2971CD10" w14:textId="32E5D01B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 w:hint="eastAsia"/>
              </w:rPr>
              <w:t>表</w:t>
            </w:r>
            <w:r>
              <w:rPr>
                <w:rFonts w:ascii="Times New Roman Regular" w:hAnsi="Times New Roman Regular" w:cs="Times New Roman Regular" w:hint="eastAsia"/>
              </w:rPr>
              <w:t>12</w:t>
            </w:r>
            <w:r w:rsidR="00D443C5">
              <w:rPr>
                <w:rFonts w:ascii="Times New Roman Regular" w:hAnsi="Times New Roman Regular" w:cs="Times New Roman Regular" w:hint="eastAsia"/>
              </w:rPr>
              <w:t>-</w:t>
            </w:r>
            <w:r>
              <w:rPr>
                <w:rFonts w:ascii="Times New Roman Regular" w:hAnsi="Times New Roman Regular" w:cs="Times New Roman Regular" w:hint="eastAsia"/>
              </w:rPr>
              <w:t>14</w:t>
            </w:r>
            <w:proofErr w:type="gramStart"/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,CPR≥15 min</w:t>
            </w:r>
            <w:r>
              <w:rPr>
                <w:rFonts w:ascii="Times New Roman Regular" w:hAnsi="Times New Roman Regular" w:cs="Times New Roman Regular"/>
              </w:rPr>
              <w:t>未</w:t>
            </w:r>
            <w:r>
              <w:rPr>
                <w:rFonts w:ascii="Times New Roman Regular" w:hAnsi="Times New Roman Regular" w:cs="Times New Roman Regular"/>
              </w:rPr>
              <w:t>ROSC</w:t>
            </w:r>
            <w:r>
              <w:rPr>
                <w:rFonts w:ascii="Times New Roman Regular" w:hAnsi="Times New Roman Regular" w:cs="Times New Roman Regular"/>
              </w:rPr>
              <w:t>即可启动</w:t>
            </w:r>
          </w:p>
        </w:tc>
      </w:tr>
      <w:tr w:rsidR="002936FF" w14:paraId="73F29699" w14:textId="77777777">
        <w:trPr>
          <w:trHeight w:val="69"/>
        </w:trPr>
        <w:tc>
          <w:tcPr>
            <w:tcW w:w="10485" w:type="dxa"/>
            <w:gridSpan w:val="10"/>
            <w:shd w:val="clear" w:color="auto" w:fill="DAE9F7" w:themeFill="text2" w:themeFillTint="1A"/>
          </w:tcPr>
          <w:p w14:paraId="2F6FED62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组织灌注不足指标（满足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≥ 3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项）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936FF" w14:paraId="702177A6" w14:textId="77777777">
        <w:trPr>
          <w:trHeight w:val="69"/>
        </w:trPr>
        <w:tc>
          <w:tcPr>
            <w:tcW w:w="2547" w:type="dxa"/>
            <w:gridSpan w:val="2"/>
            <w:shd w:val="clear" w:color="auto" w:fill="DAE9F7" w:themeFill="text2" w:themeFillTint="1A"/>
          </w:tcPr>
          <w:p w14:paraId="3C886F28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指标</w:t>
            </w:r>
          </w:p>
        </w:tc>
        <w:tc>
          <w:tcPr>
            <w:tcW w:w="4644" w:type="dxa"/>
            <w:gridSpan w:val="4"/>
            <w:shd w:val="clear" w:color="auto" w:fill="DAE9F7" w:themeFill="text2" w:themeFillTint="1A"/>
          </w:tcPr>
          <w:p w14:paraId="591D29DF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异常标准</w:t>
            </w:r>
          </w:p>
        </w:tc>
        <w:tc>
          <w:tcPr>
            <w:tcW w:w="3294" w:type="dxa"/>
            <w:gridSpan w:val="4"/>
            <w:shd w:val="clear" w:color="auto" w:fill="DAE9F7" w:themeFill="text2" w:themeFillTint="1A"/>
          </w:tcPr>
          <w:p w14:paraId="4EDC2FC5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</w:tr>
      <w:tr w:rsidR="002936FF" w14:paraId="31A5716F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</w:tcPr>
          <w:p w14:paraId="4EF80866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收缩压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14:paraId="1C671CE1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SBP&lt;90mmHg</w:t>
            </w:r>
            <w:r>
              <w:rPr>
                <w:rFonts w:ascii="Times New Roman Regular" w:hAnsi="Times New Roman Regular" w:cs="Times New Roman Regular"/>
              </w:rPr>
              <w:t>，或需大剂量血管活性药维持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14:paraId="3ACBA5D3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SBP____ / </w:t>
            </w: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 xml:space="preserve">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μg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/kg/min</w:t>
            </w:r>
          </w:p>
        </w:tc>
      </w:tr>
      <w:tr w:rsidR="002936FF" w14:paraId="332A4DAE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</w:tcPr>
          <w:p w14:paraId="32FD8ABD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心脏指数（如有</w:t>
            </w:r>
            <w:r>
              <w:rPr>
                <w:rFonts w:ascii="Times New Roman Regular" w:hAnsi="Times New Roman Regular" w:cs="Times New Roman Regular"/>
              </w:rPr>
              <w:t xml:space="preserve"> PAC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14:paraId="43C03F37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CI &lt;2.0 L/min/m²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14:paraId="4145F08E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L/min/m²</w:t>
            </w:r>
          </w:p>
        </w:tc>
      </w:tr>
      <w:tr w:rsidR="002936FF" w14:paraId="3D5C731C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</w:tcPr>
          <w:p w14:paraId="78F2DABC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  <w:r>
              <w:rPr>
                <w:rFonts w:ascii="Times New Roman Regular" w:hAnsi="Times New Roman Regular" w:cs="Times New Roman Regular"/>
              </w:rPr>
              <w:t xml:space="preserve"> LVEF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14:paraId="17BE45ED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 &lt; 20-25%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LVOT VTI &lt; 10 cm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14:paraId="798D50AA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LVEF____%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VTI____cm</w:t>
            </w:r>
            <w:proofErr w:type="spellEnd"/>
          </w:p>
        </w:tc>
      </w:tr>
      <w:tr w:rsidR="002936FF" w14:paraId="5F1AF365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  <w:vAlign w:val="center"/>
          </w:tcPr>
          <w:p w14:paraId="1EB8BBA3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血管活性药剂量</w:t>
            </w:r>
          </w:p>
        </w:tc>
        <w:tc>
          <w:tcPr>
            <w:tcW w:w="4644" w:type="dxa"/>
            <w:gridSpan w:val="4"/>
            <w:shd w:val="clear" w:color="auto" w:fill="FFFFFF" w:themeFill="background1"/>
            <w:vAlign w:val="center"/>
          </w:tcPr>
          <w:p w14:paraId="3003141D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甲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0.3μg/kg/min+</w:t>
            </w: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 xml:space="preserve">&gt;10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μg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/kg/min,</w:t>
            </w:r>
            <w:r>
              <w:rPr>
                <w:rFonts w:ascii="Times New Roman Regular" w:hAnsi="Times New Roman Regular" w:cs="Times New Roman Regular"/>
              </w:rPr>
              <w:t>仍无效</w:t>
            </w:r>
          </w:p>
        </w:tc>
        <w:tc>
          <w:tcPr>
            <w:tcW w:w="3294" w:type="dxa"/>
            <w:gridSpan w:val="4"/>
            <w:shd w:val="clear" w:color="auto" w:fill="FFFFFF" w:themeFill="background1"/>
            <w:vAlign w:val="center"/>
          </w:tcPr>
          <w:p w14:paraId="01276359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2936FF" w14:paraId="51B1F310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</w:tcPr>
          <w:p w14:paraId="27F84E06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14:paraId="7BD6036F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30mL/h</w:t>
            </w:r>
            <w:r>
              <w:rPr>
                <w:rFonts w:ascii="Times New Roman Regular" w:hAnsi="Times New Roman Regular" w:cs="Times New Roman Regular"/>
              </w:rPr>
              <w:t>（或</w:t>
            </w:r>
            <w:r>
              <w:rPr>
                <w:rFonts w:ascii="Times New Roman Regular" w:hAnsi="Times New Roman Regular" w:cs="Times New Roman Regular"/>
              </w:rPr>
              <w:t>&lt;0.5 mL/kg/h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14:paraId="5C4EAF8F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mL/h</w:t>
            </w:r>
          </w:p>
        </w:tc>
      </w:tr>
      <w:tr w:rsidR="002936FF" w14:paraId="735FC72A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</w:tcPr>
          <w:p w14:paraId="32C69F27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14:paraId="08D47C0E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2.0mmol/L </w:t>
            </w:r>
            <w:r>
              <w:rPr>
                <w:rFonts w:ascii="Times New Roman Regular" w:hAnsi="Times New Roman Regular" w:cs="Times New Roman Regular"/>
              </w:rPr>
              <w:t>且持续不降或上升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14:paraId="5AA7D33E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mmol/L</w:t>
            </w:r>
          </w:p>
        </w:tc>
      </w:tr>
      <w:tr w:rsidR="002936FF" w14:paraId="17D977BE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</w:tcPr>
          <w:p w14:paraId="3C6887B3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14:paraId="112AB82B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14:paraId="2EE810CE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</w:tr>
      <w:tr w:rsidR="002936FF" w14:paraId="690C5D8A" w14:textId="77777777">
        <w:trPr>
          <w:trHeight w:val="69"/>
        </w:trPr>
        <w:tc>
          <w:tcPr>
            <w:tcW w:w="2547" w:type="dxa"/>
            <w:gridSpan w:val="2"/>
            <w:shd w:val="clear" w:color="auto" w:fill="FFFFFF" w:themeFill="background1"/>
          </w:tcPr>
          <w:p w14:paraId="0CD383C0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意识状态</w:t>
            </w:r>
          </w:p>
        </w:tc>
        <w:tc>
          <w:tcPr>
            <w:tcW w:w="4644" w:type="dxa"/>
            <w:gridSpan w:val="4"/>
            <w:shd w:val="clear" w:color="auto" w:fill="FFFFFF" w:themeFill="background1"/>
          </w:tcPr>
          <w:p w14:paraId="29721A6B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改变（精神萎靡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谵妄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昏迷）</w:t>
            </w:r>
          </w:p>
        </w:tc>
        <w:tc>
          <w:tcPr>
            <w:tcW w:w="3294" w:type="dxa"/>
            <w:gridSpan w:val="4"/>
            <w:shd w:val="clear" w:color="auto" w:fill="FFFFFF" w:themeFill="background1"/>
          </w:tcPr>
          <w:p w14:paraId="196C4128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2936FF" w14:paraId="74AD4E3B" w14:textId="77777777">
        <w:trPr>
          <w:trHeight w:val="69"/>
        </w:trPr>
        <w:tc>
          <w:tcPr>
            <w:tcW w:w="10485" w:type="dxa"/>
            <w:gridSpan w:val="10"/>
            <w:shd w:val="clear" w:color="auto" w:fill="DAE9F7" w:themeFill="text2" w:themeFillTint="1A"/>
          </w:tcPr>
          <w:p w14:paraId="1A6D7850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第三步：病因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适应症勾选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核心适应症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</w:p>
        </w:tc>
      </w:tr>
      <w:tr w:rsidR="002936FF" w14:paraId="3AA70573" w14:textId="77777777">
        <w:trPr>
          <w:trHeight w:val="69"/>
        </w:trPr>
        <w:tc>
          <w:tcPr>
            <w:tcW w:w="5382" w:type="dxa"/>
            <w:gridSpan w:val="3"/>
            <w:shd w:val="clear" w:color="auto" w:fill="DAE9F7" w:themeFill="text2" w:themeFillTint="1A"/>
          </w:tcPr>
          <w:p w14:paraId="379F1DFA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5103" w:type="dxa"/>
            <w:gridSpan w:val="7"/>
            <w:shd w:val="clear" w:color="auto" w:fill="DAE9F7" w:themeFill="text2" w:themeFillTint="1A"/>
          </w:tcPr>
          <w:p w14:paraId="6E4DD310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</w:tr>
      <w:tr w:rsidR="002936FF" w14:paraId="7758CBFA" w14:textId="77777777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3488D156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急性心肌梗死导致的心源性休克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14:paraId="7FD3B1CC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心脏直视术后（含心脏移植</w:t>
            </w:r>
            <w:r>
              <w:rPr>
                <w:rFonts w:ascii="Times New Roman Regular" w:hAnsi="Times New Roman Regular" w:cs="Times New Roman Regular"/>
              </w:rPr>
              <w:t>/LVAD</w:t>
            </w:r>
            <w:r>
              <w:rPr>
                <w:rFonts w:ascii="Times New Roman Regular" w:hAnsi="Times New Roman Regular" w:cs="Times New Roman Regular"/>
              </w:rPr>
              <w:t>术后）急性心源性休克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脱机困难</w:t>
            </w:r>
          </w:p>
        </w:tc>
      </w:tr>
      <w:tr w:rsidR="002936FF" w14:paraId="03B08D9D" w14:textId="77777777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2496332D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暴发性心肌炎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14:paraId="31361AD8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重度药物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毒物中毒导致的心脏毒性或心功能抑制</w:t>
            </w:r>
          </w:p>
        </w:tc>
      </w:tr>
      <w:tr w:rsidR="002936FF" w14:paraId="119F497D" w14:textId="77777777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27357BE8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大面积肺栓塞伴循环不稳定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14:paraId="49DF2BC7" w14:textId="77777777" w:rsidR="002936FF" w:rsidRDefault="002936F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936FF" w14:paraId="04AF8AFA" w14:textId="77777777">
        <w:trPr>
          <w:trHeight w:val="69"/>
        </w:trPr>
        <w:tc>
          <w:tcPr>
            <w:tcW w:w="10485" w:type="dxa"/>
            <w:gridSpan w:val="10"/>
            <w:shd w:val="clear" w:color="auto" w:fill="DAE9F7" w:themeFill="text2" w:themeFillTint="1A"/>
          </w:tcPr>
          <w:p w14:paraId="26D2EBDF" w14:textId="77777777" w:rsidR="002936F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第三步：病因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适应症勾选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扩展与新型适应症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</w:p>
        </w:tc>
      </w:tr>
      <w:tr w:rsidR="002936FF" w14:paraId="2353BB8B" w14:textId="77777777" w:rsidTr="00D443C5">
        <w:trPr>
          <w:trHeight w:val="69"/>
        </w:trPr>
        <w:tc>
          <w:tcPr>
            <w:tcW w:w="5382" w:type="dxa"/>
            <w:gridSpan w:val="3"/>
            <w:shd w:val="clear" w:color="auto" w:fill="DAE9F7" w:themeFill="text2" w:themeFillTint="1A"/>
          </w:tcPr>
          <w:p w14:paraId="5D735ECD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5103" w:type="dxa"/>
            <w:gridSpan w:val="7"/>
            <w:shd w:val="clear" w:color="auto" w:fill="DAE9F7" w:themeFill="text2" w:themeFillTint="1A"/>
          </w:tcPr>
          <w:p w14:paraId="2E08D157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</w:tr>
      <w:tr w:rsidR="002936FF" w14:paraId="0F73F542" w14:textId="77777777" w:rsidTr="00D443C5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5E4E7B2B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ECPR:</w:t>
            </w:r>
            <w:r>
              <w:rPr>
                <w:rFonts w:ascii="Times New Roman Regular" w:hAnsi="Times New Roman Regular" w:cs="Times New Roman Regular"/>
              </w:rPr>
              <w:t>难治性心脏骤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停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常规</w:t>
            </w:r>
            <w:r>
              <w:rPr>
                <w:rFonts w:ascii="Times New Roman Regular" w:hAnsi="Times New Roman Regular" w:cs="Times New Roman Regular"/>
              </w:rPr>
              <w:t xml:space="preserve"> CPR≥15-20min</w:t>
            </w:r>
            <w:r>
              <w:rPr>
                <w:rFonts w:ascii="Times New Roman Regular" w:hAnsi="Times New Roman Regular" w:cs="Times New Roman Regular"/>
              </w:rPr>
              <w:t>未</w:t>
            </w:r>
            <w:r>
              <w:rPr>
                <w:rFonts w:ascii="Times New Roman Regular" w:hAnsi="Times New Roman Regular" w:cs="Times New Roman Regular"/>
              </w:rPr>
              <w:t>ROSC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14:paraId="03D7F8E4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高危</w:t>
            </w:r>
            <w:r>
              <w:rPr>
                <w:rFonts w:ascii="Times New Roman Regular" w:hAnsi="Times New Roman Regular" w:cs="Times New Roman Regular"/>
              </w:rPr>
              <w:t xml:space="preserve"> PCI/CABG </w:t>
            </w:r>
            <w:r>
              <w:rPr>
                <w:rFonts w:ascii="Times New Roman Regular" w:hAnsi="Times New Roman Regular" w:cs="Times New Roman Regular"/>
              </w:rPr>
              <w:t>术中后备支持</w:t>
            </w:r>
          </w:p>
        </w:tc>
      </w:tr>
      <w:tr w:rsidR="002936FF" w14:paraId="37FB985C" w14:textId="77777777" w:rsidTr="00D443C5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6E94A1D1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重度恶性心律失常（电风暴）致难治性循环不稳定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14:paraId="5710BBA5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脓毒症相关心肌病</w:t>
            </w:r>
          </w:p>
        </w:tc>
      </w:tr>
      <w:tr w:rsidR="002936FF" w14:paraId="4CF543E7" w14:textId="77777777" w:rsidTr="00D443C5">
        <w:trPr>
          <w:trHeight w:val="69"/>
        </w:trPr>
        <w:tc>
          <w:tcPr>
            <w:tcW w:w="5382" w:type="dxa"/>
            <w:gridSpan w:val="3"/>
            <w:shd w:val="clear" w:color="auto" w:fill="FFFFFF" w:themeFill="background1"/>
          </w:tcPr>
          <w:p w14:paraId="4A10DF15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严重低体（</w:t>
            </w:r>
            <w:r>
              <w:rPr>
                <w:rFonts w:ascii="Times New Roman Regular" w:hAnsi="Times New Roman Regular" w:cs="Times New Roman Regular"/>
              </w:rPr>
              <w:t>&lt;30℃</w:t>
            </w:r>
            <w:r>
              <w:rPr>
                <w:rFonts w:ascii="Times New Roman Regular" w:hAnsi="Times New Roman Regular" w:cs="Times New Roman Regular"/>
              </w:rPr>
              <w:t>）伴循环不稳定</w:t>
            </w:r>
          </w:p>
        </w:tc>
        <w:tc>
          <w:tcPr>
            <w:tcW w:w="5103" w:type="dxa"/>
            <w:gridSpan w:val="7"/>
            <w:shd w:val="clear" w:color="auto" w:fill="FFFFFF" w:themeFill="background1"/>
          </w:tcPr>
          <w:p w14:paraId="044B046C" w14:textId="77777777" w:rsidR="002936F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产后急性心肌病</w:t>
            </w:r>
          </w:p>
        </w:tc>
      </w:tr>
    </w:tbl>
    <w:p w14:paraId="783AD63F" w14:textId="77777777" w:rsidR="002936F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(2021·ASAIOJ)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+SAVE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(Schmidt et al.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2015)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相关指南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(AHA 2025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启动前的快速四步评估，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5-10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</w:t>
      </w:r>
    </w:p>
    <w:p w14:paraId="043A2D38" w14:textId="77777777" w:rsidR="002936F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SAVE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12-14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专项流程）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2936F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8B86F" w14:textId="77777777" w:rsidR="00DF08B3" w:rsidRDefault="00DF08B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05065F5" w14:textId="77777777" w:rsidR="00DF08B3" w:rsidRDefault="00DF08B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B8D2" w14:textId="77777777" w:rsidR="00DF08B3" w:rsidRDefault="00DF08B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8300CF6" w14:textId="77777777" w:rsidR="00DF08B3" w:rsidRDefault="00DF08B3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36FF"/>
    <w:rsid w:val="002958E6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B0AF7"/>
    <w:rsid w:val="006B3B42"/>
    <w:rsid w:val="006C4A6B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443C5"/>
    <w:rsid w:val="00D718EE"/>
    <w:rsid w:val="00D812BC"/>
    <w:rsid w:val="00D91D9F"/>
    <w:rsid w:val="00DB6683"/>
    <w:rsid w:val="00DF08B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A4A6C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F74FF"/>
    <w:rsid w:val="12204B8B"/>
    <w:rsid w:val="2C837DDE"/>
    <w:rsid w:val="50EA704C"/>
    <w:rsid w:val="7DCBD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697C6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1</Pages>
  <Words>603</Words>
  <Characters>925</Characters>
  <Application>Microsoft Office Word</Application>
  <DocSecurity>0</DocSecurity>
  <Lines>37</Lines>
  <Paragraphs>58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89</cp:revision>
  <dcterms:created xsi:type="dcterms:W3CDTF">2026-08-25T16:09:00Z</dcterms:created>
  <dcterms:modified xsi:type="dcterms:W3CDTF">2026-09-15T12:00:00Z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572A719F39E840B284DD7062E4FDCA85_12</vt:lpwstr>
  </property>
</Properties>
</file>