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111D" w14:textId="77777777" w:rsidR="001D7623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10  VV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-ECMO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临床启动快速筛查评估表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(1)</w:t>
      </w:r>
      <w:proofErr w:type="gramEnd"/>
    </w:p>
    <w:tbl>
      <w:tblPr>
        <w:tblStyle w:val="ab"/>
        <w:tblW w:w="10631" w:type="dxa"/>
        <w:tblLook w:val="04A0" w:firstRow="1" w:lastRow="0" w:firstColumn="1" w:lastColumn="0" w:noHBand="0" w:noVBand="1"/>
      </w:tblPr>
      <w:tblGrid>
        <w:gridCol w:w="1127"/>
        <w:gridCol w:w="1340"/>
        <w:gridCol w:w="1214"/>
        <w:gridCol w:w="142"/>
        <w:gridCol w:w="947"/>
        <w:gridCol w:w="1281"/>
        <w:gridCol w:w="40"/>
        <w:gridCol w:w="992"/>
        <w:gridCol w:w="260"/>
        <w:gridCol w:w="874"/>
        <w:gridCol w:w="219"/>
        <w:gridCol w:w="915"/>
        <w:gridCol w:w="425"/>
        <w:gridCol w:w="170"/>
        <w:gridCol w:w="45"/>
        <w:gridCol w:w="640"/>
      </w:tblGrid>
      <w:tr w:rsidR="001D7623" w14:paraId="67EB60E6" w14:textId="77777777" w:rsidTr="001A75D5">
        <w:trPr>
          <w:trHeight w:val="69"/>
        </w:trPr>
        <w:tc>
          <w:tcPr>
            <w:tcW w:w="1127" w:type="dxa"/>
            <w:shd w:val="clear" w:color="auto" w:fill="DAE9F7" w:themeFill="text2" w:themeFillTint="1A"/>
          </w:tcPr>
          <w:p w14:paraId="61B0424D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5956" w:type="dxa"/>
            <w:gridSpan w:val="7"/>
            <w:shd w:val="clear" w:color="auto" w:fill="DAE9F7" w:themeFill="text2" w:themeFillTint="1A"/>
          </w:tcPr>
          <w:p w14:paraId="41EC69BA" w14:textId="77777777" w:rsidR="001D7623" w:rsidRDefault="001D7623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34" w:type="dxa"/>
            <w:gridSpan w:val="2"/>
            <w:shd w:val="clear" w:color="auto" w:fill="DAE9F7" w:themeFill="text2" w:themeFillTint="1A"/>
          </w:tcPr>
          <w:p w14:paraId="25A0D1AC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性别</w:t>
            </w:r>
          </w:p>
        </w:tc>
        <w:tc>
          <w:tcPr>
            <w:tcW w:w="2414" w:type="dxa"/>
            <w:gridSpan w:val="6"/>
            <w:shd w:val="clear" w:color="auto" w:fill="DAE9F7" w:themeFill="text2" w:themeFillTint="1A"/>
          </w:tcPr>
          <w:p w14:paraId="259889CE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男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女</w:t>
            </w:r>
          </w:p>
        </w:tc>
      </w:tr>
      <w:tr w:rsidR="001D7623" w14:paraId="41DBFE17" w14:textId="77777777" w:rsidTr="001A75D5">
        <w:trPr>
          <w:trHeight w:val="69"/>
        </w:trPr>
        <w:tc>
          <w:tcPr>
            <w:tcW w:w="1127" w:type="dxa"/>
            <w:shd w:val="clear" w:color="auto" w:fill="FFFFFF" w:themeFill="background1"/>
          </w:tcPr>
          <w:p w14:paraId="4BF1592E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住院号</w:t>
            </w:r>
          </w:p>
        </w:tc>
        <w:tc>
          <w:tcPr>
            <w:tcW w:w="5956" w:type="dxa"/>
            <w:gridSpan w:val="7"/>
            <w:shd w:val="clear" w:color="auto" w:fill="FFFFFF" w:themeFill="background1"/>
          </w:tcPr>
          <w:p w14:paraId="04F71CB2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134" w:type="dxa"/>
            <w:gridSpan w:val="2"/>
            <w:shd w:val="clear" w:color="auto" w:fill="FFFFFF" w:themeFill="background1"/>
          </w:tcPr>
          <w:p w14:paraId="17148A1F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评估时间</w:t>
            </w:r>
          </w:p>
        </w:tc>
        <w:tc>
          <w:tcPr>
            <w:tcW w:w="2414" w:type="dxa"/>
            <w:gridSpan w:val="6"/>
            <w:shd w:val="clear" w:color="auto" w:fill="FFFFFF" w:themeFill="background1"/>
          </w:tcPr>
          <w:p w14:paraId="0A03763F" w14:textId="617D5492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 w:hint="eastAsia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 xml:space="preserve"> 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</w:tr>
      <w:tr w:rsidR="001D7623" w14:paraId="4CF8EAEF" w14:textId="77777777" w:rsidTr="001A75D5">
        <w:trPr>
          <w:trHeight w:val="69"/>
        </w:trPr>
        <w:tc>
          <w:tcPr>
            <w:tcW w:w="1127" w:type="dxa"/>
            <w:shd w:val="clear" w:color="auto" w:fill="FFFFFF" w:themeFill="background1"/>
            <w:vAlign w:val="center"/>
          </w:tcPr>
          <w:p w14:paraId="2FAFA2D4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呼吸支持</w:t>
            </w:r>
          </w:p>
        </w:tc>
        <w:tc>
          <w:tcPr>
            <w:tcW w:w="5956" w:type="dxa"/>
            <w:gridSpan w:val="7"/>
            <w:shd w:val="clear" w:color="auto" w:fill="FFFFFF" w:themeFill="background1"/>
            <w:vAlign w:val="center"/>
          </w:tcPr>
          <w:p w14:paraId="00067D21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气管插管</w:t>
            </w:r>
            <w:r>
              <w:rPr>
                <w:rFonts w:ascii="Times New Roman Regular" w:hAnsi="Times New Roman Regular" w:cs="Times New Roman Regular"/>
              </w:rPr>
              <w:t>(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₂___% PEEP___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Pplat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VT___mL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 RR___)</w:t>
            </w:r>
          </w:p>
          <w:p w14:paraId="13FB13DD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无创</w:t>
            </w:r>
            <w:r>
              <w:rPr>
                <w:rFonts w:ascii="Times New Roman Regular" w:hAnsi="Times New Roman Regular" w:cs="Times New Roman Regular"/>
              </w:rPr>
              <w:t>/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HFNC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已俯卧位（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已做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未做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禁忌）</w:t>
            </w:r>
          </w:p>
        </w:tc>
        <w:tc>
          <w:tcPr>
            <w:tcW w:w="1134" w:type="dxa"/>
            <w:gridSpan w:val="2"/>
            <w:shd w:val="clear" w:color="auto" w:fill="FFFFFF" w:themeFill="background1"/>
            <w:vAlign w:val="center"/>
          </w:tcPr>
          <w:p w14:paraId="2235B398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年龄</w:t>
            </w:r>
          </w:p>
        </w:tc>
        <w:tc>
          <w:tcPr>
            <w:tcW w:w="2414" w:type="dxa"/>
            <w:gridSpan w:val="6"/>
            <w:shd w:val="clear" w:color="auto" w:fill="FFFFFF" w:themeFill="background1"/>
            <w:vAlign w:val="center"/>
          </w:tcPr>
          <w:p w14:paraId="01379918" w14:textId="77777777" w:rsidR="001D7623" w:rsidRDefault="00000000">
            <w:pPr>
              <w:spacing w:after="0" w:line="240" w:lineRule="auto"/>
              <w:ind w:firstLineChars="300" w:firstLine="660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</w:tr>
      <w:tr w:rsidR="001D7623" w14:paraId="018F1863" w14:textId="77777777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14:paraId="0459BC07" w14:textId="77777777" w:rsidR="001D7623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第一步：绝对禁忌筛查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任何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一项勾选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→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不应启动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VV-ECMO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或需转换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模式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)</w:t>
            </w:r>
            <w:proofErr w:type="gramEnd"/>
          </w:p>
        </w:tc>
      </w:tr>
      <w:tr w:rsidR="001D7623" w14:paraId="3675BDE1" w14:textId="77777777">
        <w:trPr>
          <w:trHeight w:val="69"/>
        </w:trPr>
        <w:tc>
          <w:tcPr>
            <w:tcW w:w="9351" w:type="dxa"/>
            <w:gridSpan w:val="12"/>
            <w:shd w:val="clear" w:color="auto" w:fill="DAE9F7" w:themeFill="text2" w:themeFillTint="1A"/>
          </w:tcPr>
          <w:p w14:paraId="69A73826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筛查项目</w:t>
            </w:r>
          </w:p>
        </w:tc>
        <w:tc>
          <w:tcPr>
            <w:tcW w:w="640" w:type="dxa"/>
            <w:gridSpan w:val="3"/>
            <w:shd w:val="clear" w:color="auto" w:fill="DAE9F7" w:themeFill="text2" w:themeFillTint="1A"/>
          </w:tcPr>
          <w:p w14:paraId="4F21EDC2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是</w:t>
            </w:r>
          </w:p>
        </w:tc>
        <w:tc>
          <w:tcPr>
            <w:tcW w:w="640" w:type="dxa"/>
            <w:shd w:val="clear" w:color="auto" w:fill="DAE9F7" w:themeFill="text2" w:themeFillTint="1A"/>
          </w:tcPr>
          <w:p w14:paraId="63AB1C9E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否</w:t>
            </w:r>
          </w:p>
        </w:tc>
      </w:tr>
      <w:tr w:rsidR="001D7623" w14:paraId="5CE0A4E5" w14:textId="77777777">
        <w:trPr>
          <w:trHeight w:val="69"/>
        </w:trPr>
        <w:tc>
          <w:tcPr>
            <w:tcW w:w="9351" w:type="dxa"/>
            <w:gridSpan w:val="12"/>
            <w:shd w:val="clear" w:color="auto" w:fill="FFFFFF" w:themeFill="background1"/>
          </w:tcPr>
          <w:p w14:paraId="5E022A77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不可逆的呼吸衰竭终末期，且无肺移植指征（如终末期肺纤维化、晚期肺癌广泛肺破坏）</w:t>
            </w:r>
          </w:p>
        </w:tc>
        <w:tc>
          <w:tcPr>
            <w:tcW w:w="640" w:type="dxa"/>
            <w:gridSpan w:val="3"/>
            <w:shd w:val="clear" w:color="auto" w:fill="FFFFFF" w:themeFill="background1"/>
            <w:vAlign w:val="center"/>
          </w:tcPr>
          <w:p w14:paraId="14240D3F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</w:p>
        </w:tc>
        <w:tc>
          <w:tcPr>
            <w:tcW w:w="640" w:type="dxa"/>
            <w:shd w:val="clear" w:color="auto" w:fill="FFFFFF" w:themeFill="background1"/>
            <w:vAlign w:val="center"/>
          </w:tcPr>
          <w:p w14:paraId="461CE096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  <w:szCs w:val="22"/>
              </w:rPr>
              <w:t>□</w:t>
            </w:r>
          </w:p>
        </w:tc>
      </w:tr>
      <w:tr w:rsidR="001D7623" w14:paraId="34086D15" w14:textId="77777777">
        <w:trPr>
          <w:trHeight w:val="69"/>
        </w:trPr>
        <w:tc>
          <w:tcPr>
            <w:tcW w:w="9351" w:type="dxa"/>
            <w:gridSpan w:val="12"/>
            <w:shd w:val="clear" w:color="auto" w:fill="FFFFFF" w:themeFill="background1"/>
          </w:tcPr>
          <w:p w14:paraId="3122CD31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致命性活动性出血</w:t>
            </w:r>
          </w:p>
        </w:tc>
        <w:tc>
          <w:tcPr>
            <w:tcW w:w="640" w:type="dxa"/>
            <w:gridSpan w:val="3"/>
            <w:shd w:val="clear" w:color="auto" w:fill="FFFFFF" w:themeFill="background1"/>
            <w:vAlign w:val="center"/>
          </w:tcPr>
          <w:p w14:paraId="1F26AF23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640" w:type="dxa"/>
            <w:shd w:val="clear" w:color="auto" w:fill="FFFFFF" w:themeFill="background1"/>
            <w:vAlign w:val="center"/>
          </w:tcPr>
          <w:p w14:paraId="2A199F7E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1D7623" w14:paraId="514FFB87" w14:textId="77777777">
        <w:trPr>
          <w:trHeight w:val="69"/>
        </w:trPr>
        <w:tc>
          <w:tcPr>
            <w:tcW w:w="9351" w:type="dxa"/>
            <w:gridSpan w:val="12"/>
            <w:shd w:val="clear" w:color="auto" w:fill="FFFFFF" w:themeFill="background1"/>
          </w:tcPr>
          <w:p w14:paraId="424D7CF8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严重活动性颅内出血</w:t>
            </w:r>
          </w:p>
        </w:tc>
        <w:tc>
          <w:tcPr>
            <w:tcW w:w="640" w:type="dxa"/>
            <w:gridSpan w:val="3"/>
            <w:shd w:val="clear" w:color="auto" w:fill="FFFFFF" w:themeFill="background1"/>
            <w:vAlign w:val="center"/>
          </w:tcPr>
          <w:p w14:paraId="31C014BB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640" w:type="dxa"/>
            <w:shd w:val="clear" w:color="auto" w:fill="FFFFFF" w:themeFill="background1"/>
            <w:vAlign w:val="center"/>
          </w:tcPr>
          <w:p w14:paraId="30E80D38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1D7623" w14:paraId="14E1D079" w14:textId="77777777">
        <w:trPr>
          <w:trHeight w:val="69"/>
        </w:trPr>
        <w:tc>
          <w:tcPr>
            <w:tcW w:w="9351" w:type="dxa"/>
            <w:gridSpan w:val="12"/>
            <w:shd w:val="clear" w:color="auto" w:fill="FFFFFF" w:themeFill="background1"/>
          </w:tcPr>
          <w:p w14:paraId="04715040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存在重度、不可逆的神经系统损伤（如脑死亡、重度缺氧性脑病已确诊不可逆）</w:t>
            </w:r>
          </w:p>
        </w:tc>
        <w:tc>
          <w:tcPr>
            <w:tcW w:w="640" w:type="dxa"/>
            <w:gridSpan w:val="3"/>
            <w:shd w:val="clear" w:color="auto" w:fill="FFFFFF" w:themeFill="background1"/>
            <w:vAlign w:val="center"/>
          </w:tcPr>
          <w:p w14:paraId="0A205170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640" w:type="dxa"/>
            <w:shd w:val="clear" w:color="auto" w:fill="FFFFFF" w:themeFill="background1"/>
            <w:vAlign w:val="center"/>
          </w:tcPr>
          <w:p w14:paraId="14E0F348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1D7623" w14:paraId="2F47F142" w14:textId="77777777">
        <w:trPr>
          <w:trHeight w:val="69"/>
        </w:trPr>
        <w:tc>
          <w:tcPr>
            <w:tcW w:w="9351" w:type="dxa"/>
            <w:gridSpan w:val="12"/>
            <w:shd w:val="clear" w:color="auto" w:fill="FFFFFF" w:themeFill="background1"/>
          </w:tcPr>
          <w:p w14:paraId="36077817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合并难治性休克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心力衰竭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不应单独做</w:t>
            </w:r>
            <w:r>
              <w:rPr>
                <w:rFonts w:ascii="Times New Roman Regular" w:hAnsi="Times New Roman Regular" w:cs="Times New Roman Regular"/>
              </w:rPr>
              <w:t xml:space="preserve"> VV</w:t>
            </w:r>
            <w:r>
              <w:rPr>
                <w:rFonts w:ascii="Times New Roman Regular" w:hAnsi="Times New Roman Regular" w:cs="Times New Roman Regular"/>
              </w:rPr>
              <w:t>，应评估</w:t>
            </w:r>
            <w:r>
              <w:rPr>
                <w:rFonts w:ascii="Times New Roman Regular" w:hAnsi="Times New Roman Regular" w:cs="Times New Roman Regular"/>
              </w:rPr>
              <w:t>VA-ECMO</w:t>
            </w:r>
            <w:r>
              <w:rPr>
                <w:rFonts w:ascii="Times New Roman Regular" w:hAnsi="Times New Roman Regular" w:cs="Times New Roman Regular"/>
              </w:rPr>
              <w:t>或</w:t>
            </w:r>
            <w:r>
              <w:rPr>
                <w:rFonts w:ascii="Times New Roman Regular" w:hAnsi="Times New Roman Regular" w:cs="Times New Roman Regular"/>
              </w:rPr>
              <w:t xml:space="preserve"> V-AV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640" w:type="dxa"/>
            <w:gridSpan w:val="3"/>
            <w:shd w:val="clear" w:color="auto" w:fill="FFFFFF" w:themeFill="background1"/>
            <w:vAlign w:val="center"/>
          </w:tcPr>
          <w:p w14:paraId="5796E4CB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  <w:tc>
          <w:tcPr>
            <w:tcW w:w="640" w:type="dxa"/>
            <w:shd w:val="clear" w:color="auto" w:fill="FFFFFF" w:themeFill="background1"/>
            <w:vAlign w:val="center"/>
          </w:tcPr>
          <w:p w14:paraId="52D422CD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</w:p>
        </w:tc>
      </w:tr>
      <w:tr w:rsidR="001D7623" w14:paraId="5C9B7478" w14:textId="77777777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14:paraId="75FF4232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第二步：呼吸衰竭严重程度指标评估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1D7623" w14:paraId="119AD23D" w14:textId="77777777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14:paraId="52D0069F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条件：已肺保护性通气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低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VT+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最佳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PEEP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）、肺复张、俯卧位通气，及神经肌肉阻滞剂，仍存以下情况之一</w:t>
            </w:r>
          </w:p>
        </w:tc>
      </w:tr>
      <w:tr w:rsidR="001D7623" w14:paraId="7E0FF674" w14:textId="77777777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14:paraId="7B8024C8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严重低氧血症（满足任意一项）</w:t>
            </w:r>
          </w:p>
        </w:tc>
      </w:tr>
      <w:tr w:rsidR="001D7623" w14:paraId="5A8630DE" w14:textId="77777777">
        <w:trPr>
          <w:trHeight w:val="69"/>
        </w:trPr>
        <w:tc>
          <w:tcPr>
            <w:tcW w:w="6051" w:type="dxa"/>
            <w:gridSpan w:val="6"/>
            <w:shd w:val="clear" w:color="auto" w:fill="DAE9F7" w:themeFill="text2" w:themeFillTint="1A"/>
          </w:tcPr>
          <w:p w14:paraId="456EAC43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3895" w:type="dxa"/>
            <w:gridSpan w:val="8"/>
            <w:shd w:val="clear" w:color="auto" w:fill="DAE9F7" w:themeFill="text2" w:themeFillTint="1A"/>
          </w:tcPr>
          <w:p w14:paraId="41D36460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  <w:tc>
          <w:tcPr>
            <w:tcW w:w="685" w:type="dxa"/>
            <w:gridSpan w:val="2"/>
            <w:shd w:val="clear" w:color="auto" w:fill="DAE9F7" w:themeFill="text2" w:themeFillTint="1A"/>
          </w:tcPr>
          <w:p w14:paraId="65BE8F23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1D7623" w14:paraId="640CD563" w14:textId="77777777">
        <w:trPr>
          <w:trHeight w:val="69"/>
        </w:trPr>
        <w:tc>
          <w:tcPr>
            <w:tcW w:w="6051" w:type="dxa"/>
            <w:gridSpan w:val="6"/>
            <w:shd w:val="clear" w:color="auto" w:fill="FFFFFF" w:themeFill="background1"/>
          </w:tcPr>
          <w:p w14:paraId="690D97DA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&lt; 50 mmHg </w:t>
            </w: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 xml:space="preserve"> &gt; 3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3895" w:type="dxa"/>
            <w:gridSpan w:val="8"/>
            <w:shd w:val="clear" w:color="auto" w:fill="FFFFFF" w:themeFill="background1"/>
          </w:tcPr>
          <w:p w14:paraId="498772EA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P/F = ____</w:t>
            </w:r>
          </w:p>
        </w:tc>
        <w:tc>
          <w:tcPr>
            <w:tcW w:w="685" w:type="dxa"/>
            <w:gridSpan w:val="2"/>
            <w:shd w:val="clear" w:color="auto" w:fill="FFFFFF" w:themeFill="background1"/>
          </w:tcPr>
          <w:p w14:paraId="6C506A59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D7623" w14:paraId="14793041" w14:textId="77777777">
        <w:trPr>
          <w:trHeight w:val="69"/>
        </w:trPr>
        <w:tc>
          <w:tcPr>
            <w:tcW w:w="6051" w:type="dxa"/>
            <w:gridSpan w:val="6"/>
            <w:shd w:val="clear" w:color="auto" w:fill="FFFFFF" w:themeFill="background1"/>
          </w:tcPr>
          <w:p w14:paraId="5B6316F2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₂ &lt; 80 mmHg </w:t>
            </w:r>
            <w:r>
              <w:rPr>
                <w:rFonts w:ascii="Times New Roman Regular" w:hAnsi="Times New Roman Regular" w:cs="Times New Roman Regular"/>
              </w:rPr>
              <w:t>持续</w:t>
            </w:r>
            <w:r>
              <w:rPr>
                <w:rFonts w:ascii="Times New Roman Regular" w:hAnsi="Times New Roman Regular" w:cs="Times New Roman Regular"/>
              </w:rPr>
              <w:t xml:space="preserve"> &gt; 6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3895" w:type="dxa"/>
            <w:gridSpan w:val="8"/>
            <w:shd w:val="clear" w:color="auto" w:fill="FFFFFF" w:themeFill="background1"/>
          </w:tcPr>
          <w:p w14:paraId="037435E8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P/F = ____</w:t>
            </w:r>
          </w:p>
        </w:tc>
        <w:tc>
          <w:tcPr>
            <w:tcW w:w="685" w:type="dxa"/>
            <w:gridSpan w:val="2"/>
            <w:shd w:val="clear" w:color="auto" w:fill="FFFFFF" w:themeFill="background1"/>
          </w:tcPr>
          <w:p w14:paraId="1C44BFA7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D7623" w14:paraId="232F3A0C" w14:textId="77777777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14:paraId="083CE524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严重失代偿性呼吸性酸中毒</w:t>
            </w:r>
          </w:p>
        </w:tc>
      </w:tr>
      <w:tr w:rsidR="001D7623" w14:paraId="4D39583F" w14:textId="77777777">
        <w:trPr>
          <w:trHeight w:val="69"/>
        </w:trPr>
        <w:tc>
          <w:tcPr>
            <w:tcW w:w="6051" w:type="dxa"/>
            <w:gridSpan w:val="6"/>
            <w:shd w:val="clear" w:color="auto" w:fill="DAE9F7" w:themeFill="text2" w:themeFillTint="1A"/>
          </w:tcPr>
          <w:p w14:paraId="65D29907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3895" w:type="dxa"/>
            <w:gridSpan w:val="8"/>
            <w:shd w:val="clear" w:color="auto" w:fill="DAE9F7" w:themeFill="text2" w:themeFillTint="1A"/>
          </w:tcPr>
          <w:p w14:paraId="5B4583FF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  <w:tc>
          <w:tcPr>
            <w:tcW w:w="685" w:type="dxa"/>
            <w:gridSpan w:val="2"/>
            <w:shd w:val="clear" w:color="auto" w:fill="DAE9F7" w:themeFill="text2" w:themeFillTint="1A"/>
          </w:tcPr>
          <w:p w14:paraId="14E5C167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:rsidR="001D7623" w14:paraId="06180695" w14:textId="77777777">
        <w:trPr>
          <w:trHeight w:val="69"/>
        </w:trPr>
        <w:tc>
          <w:tcPr>
            <w:tcW w:w="6051" w:type="dxa"/>
            <w:gridSpan w:val="6"/>
            <w:shd w:val="clear" w:color="auto" w:fill="FFFFFF" w:themeFill="background1"/>
          </w:tcPr>
          <w:p w14:paraId="2BFB3BD5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pH &lt; 7.25 </w:t>
            </w:r>
            <w:r>
              <w:rPr>
                <w:rFonts w:ascii="Times New Roman Regular" w:hAnsi="Times New Roman Regular" w:cs="Times New Roman Regular"/>
              </w:rPr>
              <w:t>且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 &gt; 60 mmHg</w:t>
            </w:r>
            <w:r>
              <w:rPr>
                <w:rFonts w:ascii="Times New Roman Regular" w:hAnsi="Times New Roman Regular" w:cs="Times New Roman Regular"/>
              </w:rPr>
              <w:t>，持续</w:t>
            </w:r>
            <w:r>
              <w:rPr>
                <w:rFonts w:ascii="Times New Roman Regular" w:hAnsi="Times New Roman Regular" w:cs="Times New Roman Regular"/>
              </w:rPr>
              <w:t xml:space="preserve"> &gt; 6 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3895" w:type="dxa"/>
            <w:gridSpan w:val="8"/>
            <w:shd w:val="clear" w:color="auto" w:fill="FFFFFF" w:themeFill="background1"/>
          </w:tcPr>
          <w:p w14:paraId="60333723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pH____ /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₂____</w:t>
            </w:r>
          </w:p>
        </w:tc>
        <w:tc>
          <w:tcPr>
            <w:tcW w:w="685" w:type="dxa"/>
            <w:gridSpan w:val="2"/>
            <w:shd w:val="clear" w:color="auto" w:fill="FFFFFF" w:themeFill="background1"/>
          </w:tcPr>
          <w:p w14:paraId="27D734F9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D7623" w14:paraId="2C81E7BD" w14:textId="77777777">
        <w:trPr>
          <w:trHeight w:val="69"/>
        </w:trPr>
        <w:tc>
          <w:tcPr>
            <w:tcW w:w="6051" w:type="dxa"/>
            <w:gridSpan w:val="6"/>
            <w:shd w:val="clear" w:color="auto" w:fill="FFFFFF" w:themeFill="background1"/>
          </w:tcPr>
          <w:p w14:paraId="62C1389A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（此时</w:t>
            </w:r>
            <w:r>
              <w:rPr>
                <w:rFonts w:ascii="Times New Roman Regular" w:hAnsi="Times New Roman Regular" w:cs="Times New Roman Regular"/>
              </w:rPr>
              <w:t xml:space="preserve"> RR </w:t>
            </w:r>
            <w:r>
              <w:rPr>
                <w:rFonts w:ascii="Times New Roman Regular" w:hAnsi="Times New Roman Regular" w:cs="Times New Roman Regular"/>
              </w:rPr>
              <w:t>已调至</w:t>
            </w:r>
            <w:r>
              <w:rPr>
                <w:rFonts w:ascii="Times New Roman Regular" w:hAnsi="Times New Roman Regular" w:cs="Times New Roman Regular"/>
              </w:rPr>
              <w:t xml:space="preserve"> &gt; 35 </w:t>
            </w:r>
            <w:r>
              <w:rPr>
                <w:rFonts w:ascii="Times New Roman Regular" w:hAnsi="Times New Roman Regular" w:cs="Times New Roman Regular"/>
              </w:rPr>
              <w:t>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分，且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Pplat</w:t>
            </w:r>
            <w:proofErr w:type="spellEnd"/>
            <w:r>
              <w:rPr>
                <w:rFonts w:ascii="Times New Roman Regular" w:hAnsi="Times New Roman Regular" w:cs="Times New Roman Regular"/>
              </w:rPr>
              <w:t xml:space="preserve"> &gt; 30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895" w:type="dxa"/>
            <w:gridSpan w:val="8"/>
            <w:shd w:val="clear" w:color="auto" w:fill="FFFFFF" w:themeFill="background1"/>
          </w:tcPr>
          <w:p w14:paraId="29A547CF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85" w:type="dxa"/>
            <w:gridSpan w:val="2"/>
            <w:shd w:val="clear" w:color="auto" w:fill="FFFFFF" w:themeFill="background1"/>
          </w:tcPr>
          <w:p w14:paraId="44C09E33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D7623" w14:paraId="47ECDDC2" w14:textId="77777777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14:paraId="0EA41601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2.3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高危气道压力损害</w:t>
            </w:r>
          </w:p>
        </w:tc>
      </w:tr>
      <w:tr w:rsidR="001D7623" w14:paraId="452F2AD1" w14:textId="77777777">
        <w:trPr>
          <w:trHeight w:val="69"/>
        </w:trPr>
        <w:tc>
          <w:tcPr>
            <w:tcW w:w="9946" w:type="dxa"/>
            <w:gridSpan w:val="14"/>
            <w:shd w:val="clear" w:color="auto" w:fill="FFFFFF" w:themeFill="background1"/>
          </w:tcPr>
          <w:p w14:paraId="65043A8F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685" w:type="dxa"/>
            <w:gridSpan w:val="2"/>
            <w:shd w:val="clear" w:color="auto" w:fill="FFFFFF" w:themeFill="background1"/>
          </w:tcPr>
          <w:p w14:paraId="6E476D0B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✓</w:t>
            </w:r>
          </w:p>
        </w:tc>
      </w:tr>
      <w:tr w:rsidR="001D7623" w14:paraId="01B38257" w14:textId="77777777">
        <w:trPr>
          <w:trHeight w:val="69"/>
        </w:trPr>
        <w:tc>
          <w:tcPr>
            <w:tcW w:w="9946" w:type="dxa"/>
            <w:gridSpan w:val="14"/>
            <w:shd w:val="clear" w:color="auto" w:fill="FFFFFF" w:themeFill="background1"/>
          </w:tcPr>
          <w:p w14:paraId="3D8A7C74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机械通气导致严重肺泡气压伤（复发性气胸、纵隔气肿），且无法降低通气参数</w:t>
            </w:r>
          </w:p>
        </w:tc>
        <w:tc>
          <w:tcPr>
            <w:tcW w:w="685" w:type="dxa"/>
            <w:gridSpan w:val="2"/>
            <w:shd w:val="clear" w:color="auto" w:fill="FFFFFF" w:themeFill="background1"/>
          </w:tcPr>
          <w:p w14:paraId="04D53088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1D7623" w14:paraId="1E26AC0B" w14:textId="77777777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14:paraId="5E9BE82B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2.4 Murray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肺损伤评分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≥ 3.0</w:t>
            </w:r>
          </w:p>
        </w:tc>
      </w:tr>
      <w:tr w:rsidR="001D7623" w14:paraId="311F8183" w14:textId="77777777" w:rsidTr="001A75D5">
        <w:trPr>
          <w:trHeight w:val="69"/>
        </w:trPr>
        <w:tc>
          <w:tcPr>
            <w:tcW w:w="2467" w:type="dxa"/>
            <w:gridSpan w:val="2"/>
            <w:shd w:val="clear" w:color="auto" w:fill="DAE9F7" w:themeFill="text2" w:themeFillTint="1A"/>
          </w:tcPr>
          <w:p w14:paraId="4CA2D41F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Murray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评分四要素</w:t>
            </w:r>
          </w:p>
        </w:tc>
        <w:tc>
          <w:tcPr>
            <w:tcW w:w="1214" w:type="dxa"/>
            <w:shd w:val="clear" w:color="auto" w:fill="DAE9F7" w:themeFill="text2" w:themeFillTint="1A"/>
          </w:tcPr>
          <w:p w14:paraId="1DB096F6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0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</w:t>
            </w:r>
          </w:p>
        </w:tc>
        <w:tc>
          <w:tcPr>
            <w:tcW w:w="1089" w:type="dxa"/>
            <w:gridSpan w:val="2"/>
            <w:shd w:val="clear" w:color="auto" w:fill="DAE9F7" w:themeFill="text2" w:themeFillTint="1A"/>
          </w:tcPr>
          <w:p w14:paraId="1A9C0BD9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</w:t>
            </w:r>
          </w:p>
        </w:tc>
        <w:tc>
          <w:tcPr>
            <w:tcW w:w="1321" w:type="dxa"/>
            <w:gridSpan w:val="2"/>
            <w:shd w:val="clear" w:color="auto" w:fill="DAE9F7" w:themeFill="text2" w:themeFillTint="1A"/>
          </w:tcPr>
          <w:p w14:paraId="6F7F4B50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</w:t>
            </w:r>
          </w:p>
        </w:tc>
        <w:tc>
          <w:tcPr>
            <w:tcW w:w="1252" w:type="dxa"/>
            <w:gridSpan w:val="2"/>
            <w:shd w:val="clear" w:color="auto" w:fill="DAE9F7" w:themeFill="text2" w:themeFillTint="1A"/>
          </w:tcPr>
          <w:p w14:paraId="017920D8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3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</w:t>
            </w:r>
          </w:p>
        </w:tc>
        <w:tc>
          <w:tcPr>
            <w:tcW w:w="1093" w:type="dxa"/>
            <w:gridSpan w:val="2"/>
            <w:shd w:val="clear" w:color="auto" w:fill="DAE9F7" w:themeFill="text2" w:themeFillTint="1A"/>
          </w:tcPr>
          <w:p w14:paraId="1EEDBDC9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4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</w:t>
            </w:r>
          </w:p>
        </w:tc>
        <w:tc>
          <w:tcPr>
            <w:tcW w:w="1340" w:type="dxa"/>
            <w:gridSpan w:val="2"/>
            <w:shd w:val="clear" w:color="auto" w:fill="DAE9F7" w:themeFill="text2" w:themeFillTint="1A"/>
          </w:tcPr>
          <w:p w14:paraId="21968E28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  <w:tc>
          <w:tcPr>
            <w:tcW w:w="855" w:type="dxa"/>
            <w:gridSpan w:val="3"/>
            <w:shd w:val="clear" w:color="auto" w:fill="DAE9F7" w:themeFill="text2" w:themeFillTint="1A"/>
          </w:tcPr>
          <w:p w14:paraId="27D8541C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得分</w:t>
            </w:r>
          </w:p>
        </w:tc>
      </w:tr>
      <w:tr w:rsidR="001D7623" w14:paraId="0EFA8D12" w14:textId="77777777" w:rsidTr="001A75D5">
        <w:trPr>
          <w:trHeight w:val="69"/>
        </w:trPr>
        <w:tc>
          <w:tcPr>
            <w:tcW w:w="2467" w:type="dxa"/>
            <w:gridSpan w:val="2"/>
            <w:shd w:val="clear" w:color="auto" w:fill="FFFFFF" w:themeFill="background1"/>
          </w:tcPr>
          <w:p w14:paraId="20B85DCA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PaO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1214" w:type="dxa"/>
            <w:shd w:val="clear" w:color="auto" w:fill="FFFFFF" w:themeFill="background1"/>
          </w:tcPr>
          <w:p w14:paraId="5BF2CC62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≥300</w:t>
            </w:r>
          </w:p>
        </w:tc>
        <w:tc>
          <w:tcPr>
            <w:tcW w:w="1089" w:type="dxa"/>
            <w:gridSpan w:val="2"/>
            <w:shd w:val="clear" w:color="auto" w:fill="FFFFFF" w:themeFill="background1"/>
          </w:tcPr>
          <w:p w14:paraId="0C97C46D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225-299</w:t>
            </w:r>
          </w:p>
        </w:tc>
        <w:tc>
          <w:tcPr>
            <w:tcW w:w="1321" w:type="dxa"/>
            <w:gridSpan w:val="2"/>
            <w:shd w:val="clear" w:color="auto" w:fill="FFFFFF" w:themeFill="background1"/>
          </w:tcPr>
          <w:p w14:paraId="35574C49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175-224</w:t>
            </w:r>
          </w:p>
        </w:tc>
        <w:tc>
          <w:tcPr>
            <w:tcW w:w="1252" w:type="dxa"/>
            <w:gridSpan w:val="2"/>
            <w:shd w:val="clear" w:color="auto" w:fill="FFFFFF" w:themeFill="background1"/>
          </w:tcPr>
          <w:p w14:paraId="71165952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100-174</w:t>
            </w:r>
          </w:p>
        </w:tc>
        <w:tc>
          <w:tcPr>
            <w:tcW w:w="1093" w:type="dxa"/>
            <w:gridSpan w:val="2"/>
            <w:shd w:val="clear" w:color="auto" w:fill="FFFFFF" w:themeFill="background1"/>
          </w:tcPr>
          <w:p w14:paraId="016D7F9A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&lt;100</w:t>
            </w:r>
          </w:p>
        </w:tc>
        <w:tc>
          <w:tcPr>
            <w:tcW w:w="1340" w:type="dxa"/>
            <w:gridSpan w:val="2"/>
            <w:shd w:val="clear" w:color="auto" w:fill="FFFFFF" w:themeFill="background1"/>
          </w:tcPr>
          <w:p w14:paraId="60C4DE22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855" w:type="dxa"/>
            <w:gridSpan w:val="3"/>
            <w:shd w:val="clear" w:color="auto" w:fill="FFFFFF" w:themeFill="background1"/>
          </w:tcPr>
          <w:p w14:paraId="7B8A981D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D7623" w14:paraId="72EDE142" w14:textId="77777777" w:rsidTr="001A75D5">
        <w:trPr>
          <w:trHeight w:val="69"/>
        </w:trPr>
        <w:tc>
          <w:tcPr>
            <w:tcW w:w="2467" w:type="dxa"/>
            <w:gridSpan w:val="2"/>
            <w:shd w:val="clear" w:color="auto" w:fill="FFFFFF" w:themeFill="background1"/>
          </w:tcPr>
          <w:p w14:paraId="3D029AD2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胸片（象限浸润数）</w:t>
            </w:r>
          </w:p>
        </w:tc>
        <w:tc>
          <w:tcPr>
            <w:tcW w:w="1214" w:type="dxa"/>
            <w:shd w:val="clear" w:color="auto" w:fill="FFFFFF" w:themeFill="background1"/>
          </w:tcPr>
          <w:p w14:paraId="27FA355E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0</w:t>
            </w:r>
          </w:p>
        </w:tc>
        <w:tc>
          <w:tcPr>
            <w:tcW w:w="1089" w:type="dxa"/>
            <w:gridSpan w:val="2"/>
            <w:shd w:val="clear" w:color="auto" w:fill="FFFFFF" w:themeFill="background1"/>
          </w:tcPr>
          <w:p w14:paraId="44DE3123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1321" w:type="dxa"/>
            <w:gridSpan w:val="2"/>
            <w:shd w:val="clear" w:color="auto" w:fill="FFFFFF" w:themeFill="background1"/>
          </w:tcPr>
          <w:p w14:paraId="1B0FEB53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1252" w:type="dxa"/>
            <w:gridSpan w:val="2"/>
            <w:shd w:val="clear" w:color="auto" w:fill="FFFFFF" w:themeFill="background1"/>
          </w:tcPr>
          <w:p w14:paraId="4CC3A04D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1093" w:type="dxa"/>
            <w:gridSpan w:val="2"/>
            <w:shd w:val="clear" w:color="auto" w:fill="FFFFFF" w:themeFill="background1"/>
          </w:tcPr>
          <w:p w14:paraId="07E978F3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</w:t>
            </w:r>
          </w:p>
        </w:tc>
        <w:tc>
          <w:tcPr>
            <w:tcW w:w="1340" w:type="dxa"/>
            <w:gridSpan w:val="2"/>
            <w:shd w:val="clear" w:color="auto" w:fill="FFFFFF" w:themeFill="background1"/>
          </w:tcPr>
          <w:p w14:paraId="22D1C6FD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象限</w:t>
            </w:r>
          </w:p>
        </w:tc>
        <w:tc>
          <w:tcPr>
            <w:tcW w:w="855" w:type="dxa"/>
            <w:gridSpan w:val="3"/>
            <w:shd w:val="clear" w:color="auto" w:fill="FFFFFF" w:themeFill="background1"/>
          </w:tcPr>
          <w:p w14:paraId="64CBA10A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D7623" w14:paraId="484D4410" w14:textId="77777777" w:rsidTr="001A75D5">
        <w:trPr>
          <w:trHeight w:val="69"/>
        </w:trPr>
        <w:tc>
          <w:tcPr>
            <w:tcW w:w="2467" w:type="dxa"/>
            <w:gridSpan w:val="2"/>
            <w:shd w:val="clear" w:color="auto" w:fill="FFFFFF" w:themeFill="background1"/>
          </w:tcPr>
          <w:p w14:paraId="2AE79F02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  <w:r>
              <w:rPr>
                <w:rFonts w:ascii="Times New Roman Regular" w:hAnsi="Times New Roman Regular" w:cs="Times New Roman Regular"/>
              </w:rPr>
              <w:t>（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14" w:type="dxa"/>
            <w:shd w:val="clear" w:color="auto" w:fill="FFFFFF" w:themeFill="background1"/>
          </w:tcPr>
          <w:p w14:paraId="12CBD749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≤5</w:t>
            </w:r>
          </w:p>
        </w:tc>
        <w:tc>
          <w:tcPr>
            <w:tcW w:w="1089" w:type="dxa"/>
            <w:gridSpan w:val="2"/>
            <w:shd w:val="clear" w:color="auto" w:fill="FFFFFF" w:themeFill="background1"/>
          </w:tcPr>
          <w:p w14:paraId="310ED0E8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6-8</w:t>
            </w:r>
          </w:p>
        </w:tc>
        <w:tc>
          <w:tcPr>
            <w:tcW w:w="1321" w:type="dxa"/>
            <w:gridSpan w:val="2"/>
            <w:shd w:val="clear" w:color="auto" w:fill="FFFFFF" w:themeFill="background1"/>
          </w:tcPr>
          <w:p w14:paraId="20710F67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9-11</w:t>
            </w:r>
          </w:p>
        </w:tc>
        <w:tc>
          <w:tcPr>
            <w:tcW w:w="1252" w:type="dxa"/>
            <w:gridSpan w:val="2"/>
            <w:shd w:val="clear" w:color="auto" w:fill="FFFFFF" w:themeFill="background1"/>
          </w:tcPr>
          <w:p w14:paraId="2C68A1F5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12-14</w:t>
            </w:r>
          </w:p>
        </w:tc>
        <w:tc>
          <w:tcPr>
            <w:tcW w:w="1093" w:type="dxa"/>
            <w:gridSpan w:val="2"/>
            <w:shd w:val="clear" w:color="auto" w:fill="FFFFFF" w:themeFill="background1"/>
          </w:tcPr>
          <w:p w14:paraId="451A0F0B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≥15</w:t>
            </w:r>
          </w:p>
        </w:tc>
        <w:tc>
          <w:tcPr>
            <w:tcW w:w="1340" w:type="dxa"/>
            <w:gridSpan w:val="2"/>
            <w:shd w:val="clear" w:color="auto" w:fill="FFFFFF" w:themeFill="background1"/>
          </w:tcPr>
          <w:p w14:paraId="13BFE713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855" w:type="dxa"/>
            <w:gridSpan w:val="3"/>
            <w:shd w:val="clear" w:color="auto" w:fill="FFFFFF" w:themeFill="background1"/>
          </w:tcPr>
          <w:p w14:paraId="441081B8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D7623" w14:paraId="42FB4F79" w14:textId="77777777" w:rsidTr="001A75D5">
        <w:trPr>
          <w:trHeight w:val="69"/>
        </w:trPr>
        <w:tc>
          <w:tcPr>
            <w:tcW w:w="2467" w:type="dxa"/>
            <w:gridSpan w:val="2"/>
            <w:shd w:val="clear" w:color="auto" w:fill="FFFFFF" w:themeFill="background1"/>
          </w:tcPr>
          <w:p w14:paraId="5738F9F2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顺应性（</w:t>
            </w:r>
            <w:r>
              <w:rPr>
                <w:rFonts w:ascii="Times New Roman Regular" w:hAnsi="Times New Roman Regular" w:cs="Times New Roman Regular"/>
              </w:rPr>
              <w:t>mL/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cmH₂O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14" w:type="dxa"/>
            <w:shd w:val="clear" w:color="auto" w:fill="FFFFFF" w:themeFill="background1"/>
          </w:tcPr>
          <w:p w14:paraId="3FD9947A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≥80</w:t>
            </w:r>
          </w:p>
        </w:tc>
        <w:tc>
          <w:tcPr>
            <w:tcW w:w="1089" w:type="dxa"/>
            <w:gridSpan w:val="2"/>
            <w:shd w:val="clear" w:color="auto" w:fill="FFFFFF" w:themeFill="background1"/>
          </w:tcPr>
          <w:p w14:paraId="1921E4D0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60-79</w:t>
            </w:r>
          </w:p>
        </w:tc>
        <w:tc>
          <w:tcPr>
            <w:tcW w:w="1321" w:type="dxa"/>
            <w:gridSpan w:val="2"/>
            <w:shd w:val="clear" w:color="auto" w:fill="FFFFFF" w:themeFill="background1"/>
          </w:tcPr>
          <w:p w14:paraId="4453C6E5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40-59</w:t>
            </w:r>
          </w:p>
        </w:tc>
        <w:tc>
          <w:tcPr>
            <w:tcW w:w="1252" w:type="dxa"/>
            <w:gridSpan w:val="2"/>
            <w:shd w:val="clear" w:color="auto" w:fill="FFFFFF" w:themeFill="background1"/>
          </w:tcPr>
          <w:p w14:paraId="5D021608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20-39</w:t>
            </w:r>
          </w:p>
        </w:tc>
        <w:tc>
          <w:tcPr>
            <w:tcW w:w="1093" w:type="dxa"/>
            <w:gridSpan w:val="2"/>
            <w:shd w:val="clear" w:color="auto" w:fill="FFFFFF" w:themeFill="background1"/>
          </w:tcPr>
          <w:p w14:paraId="34141EC1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≤19</w:t>
            </w:r>
          </w:p>
        </w:tc>
        <w:tc>
          <w:tcPr>
            <w:tcW w:w="1340" w:type="dxa"/>
            <w:gridSpan w:val="2"/>
            <w:shd w:val="clear" w:color="auto" w:fill="FFFFFF" w:themeFill="background1"/>
          </w:tcPr>
          <w:p w14:paraId="02EC9088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855" w:type="dxa"/>
            <w:gridSpan w:val="3"/>
            <w:shd w:val="clear" w:color="auto" w:fill="FFFFFF" w:themeFill="background1"/>
          </w:tcPr>
          <w:p w14:paraId="487170A5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1D7623" w14:paraId="70D3AA92" w14:textId="77777777">
        <w:trPr>
          <w:trHeight w:val="69"/>
        </w:trPr>
        <w:tc>
          <w:tcPr>
            <w:tcW w:w="4770" w:type="dxa"/>
            <w:gridSpan w:val="5"/>
            <w:shd w:val="clear" w:color="auto" w:fill="FFFFFF" w:themeFill="background1"/>
          </w:tcPr>
          <w:p w14:paraId="3E24A428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Murray </w:t>
            </w:r>
            <w:r>
              <w:rPr>
                <w:rFonts w:ascii="Times New Roman Regular" w:hAnsi="Times New Roman Regular" w:cs="Times New Roman Regular"/>
              </w:rPr>
              <w:t>总分</w:t>
            </w:r>
            <w:r>
              <w:rPr>
                <w:rFonts w:ascii="Times New Roman Regular" w:hAnsi="Times New Roman Regular" w:cs="Times New Roman Regular"/>
              </w:rPr>
              <w:t xml:space="preserve"> = 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四项之和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 ÷ 4 ____ </w:t>
            </w:r>
            <w:r>
              <w:rPr>
                <w:rFonts w:ascii="Times New Roman Regular" w:hAnsi="Times New Roman Regular" w:cs="Times New Roman Regular"/>
              </w:rPr>
              <w:t>分</w:t>
            </w:r>
            <w:r>
              <w:rPr>
                <w:rFonts w:ascii="Times New Roman Regular" w:hAnsi="Times New Roman Regular" w:cs="Times New Roman Regular"/>
              </w:rPr>
              <w:t xml:space="preserve">           </w:t>
            </w:r>
          </w:p>
        </w:tc>
        <w:tc>
          <w:tcPr>
            <w:tcW w:w="5861" w:type="dxa"/>
            <w:gridSpan w:val="11"/>
            <w:shd w:val="clear" w:color="auto" w:fill="FFFFFF" w:themeFill="background1"/>
          </w:tcPr>
          <w:p w14:paraId="1EBA6C26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Murray ≥ 3.0</w:t>
            </w:r>
            <w:r>
              <w:rPr>
                <w:rFonts w:ascii="Times New Roman Regular" w:hAnsi="Times New Roman Regular" w:cs="Times New Roman Regular"/>
              </w:rPr>
              <w:t>？</w:t>
            </w:r>
            <w:r>
              <w:rPr>
                <w:rFonts w:ascii="Times New Roman Regular" w:hAnsi="Times New Roman Regular" w:cs="Times New Roman Regular"/>
              </w:rPr>
              <w:t xml:space="preserve">  □ 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</w:tr>
      <w:tr w:rsidR="001D7623" w14:paraId="50E3A0FF" w14:textId="77777777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14:paraId="034388CC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2.5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快速恶化预警（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还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没到标准但快了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1D7623" w14:paraId="02742F06" w14:textId="77777777">
        <w:trPr>
          <w:trHeight w:val="69"/>
        </w:trPr>
        <w:tc>
          <w:tcPr>
            <w:tcW w:w="10631" w:type="dxa"/>
            <w:gridSpan w:val="16"/>
            <w:shd w:val="clear" w:color="auto" w:fill="FFFFFF" w:themeFill="background1"/>
          </w:tcPr>
          <w:p w14:paraId="47A43AE5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如未完全达上述标准，但病情快速恶化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如</w:t>
            </w:r>
            <w:proofErr w:type="gramEnd"/>
            <w:r>
              <w:rPr>
                <w:rFonts w:ascii="Times New Roman Regular" w:hAnsi="Times New Roman Regular" w:cs="Times New Roman Regular"/>
              </w:rPr>
              <w:t>过去</w:t>
            </w:r>
            <w:r>
              <w:rPr>
                <w:rFonts w:ascii="Times New Roman Regular" w:hAnsi="Times New Roman Regular" w:cs="Times New Roman Regular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小时</w:t>
            </w:r>
            <w:r>
              <w:rPr>
                <w:rFonts w:ascii="Times New Roman Regular" w:hAnsi="Times New Roman Regular" w:cs="Times New Roman Regular"/>
              </w:rPr>
              <w:t>P/F</w:t>
            </w:r>
            <w:r>
              <w:rPr>
                <w:rFonts w:ascii="Times New Roman Regular" w:hAnsi="Times New Roman Regular" w:cs="Times New Roman Regular"/>
              </w:rPr>
              <w:t>从</w:t>
            </w:r>
            <w:r>
              <w:rPr>
                <w:rFonts w:ascii="Times New Roman Regular" w:hAnsi="Times New Roman Regular" w:cs="Times New Roman Regular"/>
              </w:rPr>
              <w:t>120→70</w:t>
            </w:r>
            <w:r>
              <w:rPr>
                <w:rFonts w:ascii="Times New Roman Regular" w:hAnsi="Times New Roman Regular" w:cs="Times New Roman Regular"/>
              </w:rPr>
              <w:t>，或</w:t>
            </w:r>
            <w:r>
              <w:rPr>
                <w:rFonts w:ascii="Times New Roman Regular" w:hAnsi="Times New Roman Regular" w:cs="Times New Roman Regular"/>
              </w:rPr>
              <w:t>pH</w:t>
            </w:r>
            <w:r>
              <w:rPr>
                <w:rFonts w:ascii="Times New Roman Regular" w:hAnsi="Times New Roman Regular" w:cs="Times New Roman Regular"/>
              </w:rPr>
              <w:t>从</w:t>
            </w:r>
            <w:r>
              <w:rPr>
                <w:rFonts w:ascii="Times New Roman Regular" w:hAnsi="Times New Roman Regular" w:cs="Times New Roman Regular"/>
              </w:rPr>
              <w:t>7.30→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7.22)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早启动</w:t>
            </w:r>
            <w:r>
              <w:rPr>
                <w:rFonts w:ascii="Times New Roman Regular" w:hAnsi="Times New Roman Regular" w:cs="Times New Roman Regular"/>
              </w:rPr>
              <w:t xml:space="preserve"> MDT</w:t>
            </w:r>
          </w:p>
        </w:tc>
      </w:tr>
      <w:tr w:rsidR="001D7623" w14:paraId="37B0069B" w14:textId="77777777">
        <w:trPr>
          <w:trHeight w:val="69"/>
        </w:trPr>
        <w:tc>
          <w:tcPr>
            <w:tcW w:w="10631" w:type="dxa"/>
            <w:gridSpan w:val="16"/>
            <w:shd w:val="clear" w:color="auto" w:fill="DAE9F7" w:themeFill="text2" w:themeFillTint="1A"/>
          </w:tcPr>
          <w:p w14:paraId="3E3CA5C3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2.6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清醒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策略评估</w:t>
            </w:r>
          </w:p>
        </w:tc>
      </w:tr>
      <w:tr w:rsidR="001D7623" w14:paraId="5EF8726A" w14:textId="77777777">
        <w:trPr>
          <w:trHeight w:val="69"/>
        </w:trPr>
        <w:tc>
          <w:tcPr>
            <w:tcW w:w="3823" w:type="dxa"/>
            <w:gridSpan w:val="4"/>
            <w:shd w:val="clear" w:color="auto" w:fill="DAE9F7" w:themeFill="text2" w:themeFillTint="1A"/>
          </w:tcPr>
          <w:p w14:paraId="76FA2DD7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问题</w:t>
            </w:r>
          </w:p>
        </w:tc>
        <w:tc>
          <w:tcPr>
            <w:tcW w:w="6808" w:type="dxa"/>
            <w:gridSpan w:val="12"/>
            <w:shd w:val="clear" w:color="auto" w:fill="DAE9F7" w:themeFill="text2" w:themeFillTint="1A"/>
          </w:tcPr>
          <w:p w14:paraId="76BD8085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回答</w:t>
            </w:r>
          </w:p>
        </w:tc>
      </w:tr>
      <w:tr w:rsidR="001D7623" w14:paraId="34C500C8" w14:textId="77777777">
        <w:trPr>
          <w:trHeight w:val="69"/>
        </w:trPr>
        <w:tc>
          <w:tcPr>
            <w:tcW w:w="3823" w:type="dxa"/>
            <w:gridSpan w:val="4"/>
            <w:shd w:val="clear" w:color="auto" w:fill="FFFFFF" w:themeFill="background1"/>
          </w:tcPr>
          <w:p w14:paraId="7C4A2F56" w14:textId="77777777" w:rsidR="001D7623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患者当前是否清醒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可保留自主呼吸？</w:t>
            </w:r>
          </w:p>
        </w:tc>
        <w:tc>
          <w:tcPr>
            <w:tcW w:w="6808" w:type="dxa"/>
            <w:gridSpan w:val="12"/>
            <w:shd w:val="clear" w:color="auto" w:fill="FFFFFF" w:themeFill="background1"/>
          </w:tcPr>
          <w:p w14:paraId="4506E67C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优先考虑清醒</w:t>
            </w:r>
            <w:r>
              <w:rPr>
                <w:rFonts w:ascii="Times New Roman Regular" w:hAnsi="Times New Roman Regular" w:cs="Times New Roman Regular"/>
              </w:rPr>
              <w:t xml:space="preserve"> ECMO(</w:t>
            </w:r>
            <w:r>
              <w:rPr>
                <w:rFonts w:ascii="Times New Roman Regular" w:hAnsi="Times New Roman Regular" w:cs="Times New Roman Regular"/>
              </w:rPr>
              <w:t>避免插管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)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否（已插管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意识障碍）</w:t>
            </w:r>
          </w:p>
        </w:tc>
      </w:tr>
      <w:tr w:rsidR="001D7623" w14:paraId="0230CE95" w14:textId="77777777">
        <w:trPr>
          <w:trHeight w:val="69"/>
        </w:trPr>
        <w:tc>
          <w:tcPr>
            <w:tcW w:w="3823" w:type="dxa"/>
            <w:gridSpan w:val="4"/>
            <w:shd w:val="clear" w:color="auto" w:fill="FFFFFF" w:themeFill="background1"/>
          </w:tcPr>
          <w:p w14:paraId="04BBDB6A" w14:textId="77777777" w:rsidR="001D7623" w:rsidRDefault="001D7623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808" w:type="dxa"/>
            <w:gridSpan w:val="12"/>
            <w:shd w:val="clear" w:color="auto" w:fill="FFFFFF" w:themeFill="background1"/>
          </w:tcPr>
          <w:p w14:paraId="35DD346B" w14:textId="77777777" w:rsidR="001D7623" w:rsidRDefault="001D7623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1D7623" w14:paraId="1B805E4C" w14:textId="77777777">
        <w:trPr>
          <w:trHeight w:val="69"/>
        </w:trPr>
        <w:tc>
          <w:tcPr>
            <w:tcW w:w="10631" w:type="dxa"/>
            <w:gridSpan w:val="16"/>
            <w:shd w:val="clear" w:color="auto" w:fill="FFFFFF" w:themeFill="background1"/>
          </w:tcPr>
          <w:p w14:paraId="2571D836" w14:textId="77777777" w:rsidR="001D7623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清醒</w:t>
            </w:r>
            <w:r>
              <w:rPr>
                <w:rFonts w:ascii="Times New Roman Regular" w:hAnsi="Times New Roman Regular" w:cs="Times New Roman Regular"/>
              </w:rPr>
              <w:t xml:space="preserve"> VV-ECMO </w:t>
            </w:r>
            <w:r>
              <w:rPr>
                <w:rFonts w:ascii="Times New Roman Regular" w:hAnsi="Times New Roman Regular" w:cs="Times New Roman Regular"/>
              </w:rPr>
              <w:t>可避免镇静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插管相关并发症，保留膈肌功能，是年轻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非衰弱患者的优选策略。</w:t>
            </w:r>
            <w:r>
              <w:rPr>
                <w:rFonts w:ascii="Times New Roman Regular" w:hAnsi="Times New Roman Regular" w:cs="Times New Roman Regular"/>
              </w:rPr>
              <w:tab/>
            </w:r>
          </w:p>
        </w:tc>
      </w:tr>
      <w:tr w:rsidR="001A75D5" w14:paraId="070CC2A4" w14:textId="77777777">
        <w:trPr>
          <w:trHeight w:val="69"/>
        </w:trPr>
        <w:tc>
          <w:tcPr>
            <w:tcW w:w="10631" w:type="dxa"/>
            <w:gridSpan w:val="16"/>
            <w:shd w:val="clear" w:color="auto" w:fill="FFFFFF" w:themeFill="background1"/>
          </w:tcPr>
          <w:p w14:paraId="2A11C705" w14:textId="77777777" w:rsidR="001A75D5" w:rsidRDefault="001A75D5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1A75D5" w14:paraId="58A2D0EE" w14:textId="77777777">
        <w:trPr>
          <w:trHeight w:val="69"/>
        </w:trPr>
        <w:tc>
          <w:tcPr>
            <w:tcW w:w="10631" w:type="dxa"/>
            <w:gridSpan w:val="16"/>
            <w:shd w:val="clear" w:color="auto" w:fill="FFFFFF" w:themeFill="background1"/>
          </w:tcPr>
          <w:p w14:paraId="2B90448E" w14:textId="77777777" w:rsidR="001A75D5" w:rsidRDefault="001A75D5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  <w:tr w:rsidR="001A75D5" w14:paraId="71482AA7" w14:textId="77777777">
        <w:trPr>
          <w:trHeight w:val="69"/>
        </w:trPr>
        <w:tc>
          <w:tcPr>
            <w:tcW w:w="10631" w:type="dxa"/>
            <w:gridSpan w:val="16"/>
            <w:shd w:val="clear" w:color="auto" w:fill="FFFFFF" w:themeFill="background1"/>
          </w:tcPr>
          <w:p w14:paraId="223F4BB5" w14:textId="77777777" w:rsidR="001A75D5" w:rsidRDefault="001A75D5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</w:tbl>
    <w:p w14:paraId="26AE4973" w14:textId="77777777" w:rsidR="001D7623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EOLIA 2018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NEJM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CESAR 2009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Lancet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RESP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Schmidt et al. 2013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Combes et al. 2025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07449154" w14:textId="77777777" w:rsidR="001D7623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启动前的快速四步评估，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5-10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分钟内完成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6C88011B" w14:textId="77777777" w:rsidR="001D7623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配套使用：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16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RESP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评分）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表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24-30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监测管理）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sectPr w:rsidR="001D7623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BBDB1" w14:textId="77777777" w:rsidR="009854A8" w:rsidRDefault="009854A8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740B1307" w14:textId="77777777" w:rsidR="009854A8" w:rsidRDefault="009854A8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62197" w14:textId="77777777" w:rsidR="009854A8" w:rsidRDefault="009854A8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0E80D351" w14:textId="77777777" w:rsidR="009854A8" w:rsidRDefault="009854A8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0206"/>
    <w:rsid w:val="00043578"/>
    <w:rsid w:val="00043B35"/>
    <w:rsid w:val="00050B5D"/>
    <w:rsid w:val="00085011"/>
    <w:rsid w:val="00095CB9"/>
    <w:rsid w:val="000A6C22"/>
    <w:rsid w:val="000B08D2"/>
    <w:rsid w:val="000C3AC2"/>
    <w:rsid w:val="000C4347"/>
    <w:rsid w:val="000C449F"/>
    <w:rsid w:val="00106FC2"/>
    <w:rsid w:val="00173A88"/>
    <w:rsid w:val="001976BD"/>
    <w:rsid w:val="001A38A8"/>
    <w:rsid w:val="001A75D5"/>
    <w:rsid w:val="001A78EF"/>
    <w:rsid w:val="001B1825"/>
    <w:rsid w:val="001D1B7A"/>
    <w:rsid w:val="001D2CF1"/>
    <w:rsid w:val="001D7623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4FF8"/>
    <w:rsid w:val="002E541B"/>
    <w:rsid w:val="003273B8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07681"/>
    <w:rsid w:val="00420164"/>
    <w:rsid w:val="00436EBB"/>
    <w:rsid w:val="0045409E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5352E"/>
    <w:rsid w:val="00595CB4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4A6B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47C11"/>
    <w:rsid w:val="008D43AA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854A8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81D84"/>
    <w:rsid w:val="00D91D9F"/>
    <w:rsid w:val="00DB4331"/>
    <w:rsid w:val="00DB6683"/>
    <w:rsid w:val="00DD6637"/>
    <w:rsid w:val="00DF5EFA"/>
    <w:rsid w:val="00E07998"/>
    <w:rsid w:val="00E25F1B"/>
    <w:rsid w:val="00E43299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D67D5"/>
    <w:rsid w:val="00EE0E1F"/>
    <w:rsid w:val="00EE3172"/>
    <w:rsid w:val="00F17047"/>
    <w:rsid w:val="00F24FD1"/>
    <w:rsid w:val="00F25B60"/>
    <w:rsid w:val="00F37DFA"/>
    <w:rsid w:val="00F42527"/>
    <w:rsid w:val="00F535B1"/>
    <w:rsid w:val="00F86675"/>
    <w:rsid w:val="00FA4B05"/>
    <w:rsid w:val="00FA7959"/>
    <w:rsid w:val="00FE27BD"/>
    <w:rsid w:val="00FF74FF"/>
    <w:rsid w:val="147F3DC3"/>
    <w:rsid w:val="6F7FD353"/>
    <w:rsid w:val="CC5C1A2E"/>
    <w:rsid w:val="EAFD175D"/>
    <w:rsid w:val="FFEE8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EEB548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1063</TotalTime>
  <Pages>1</Pages>
  <Words>594</Words>
  <Characters>897</Characters>
  <Application>Microsoft Office Word</Application>
  <DocSecurity>0</DocSecurity>
  <Lines>89</Lines>
  <Paragraphs>124</Paragraphs>
  <ScaleCrop>false</ScaleCrop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93</cp:revision>
  <dcterms:created xsi:type="dcterms:W3CDTF">2026-08-25T16:09:00Z</dcterms:created>
  <dcterms:modified xsi:type="dcterms:W3CDTF">2026-09-15T12:03:00Z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264358328B9A431B8A40BBD2D8654384_12</vt:lpwstr>
  </property>
</Properties>
</file>