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FE258">
      <w:pPr>
        <w:jc w:val="center"/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bookmarkStart w:id="0" w:name="_GoBack"/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表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:lang w:val="en-US" w:eastAsia="zh-CN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43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 xml:space="preserve">  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ECMO 患者转运流程</w:t>
      </w:r>
      <w:r>
        <w:rPr>
          <w:rFonts w:hint="default" w:ascii="Times New Roman Regular" w:hAnsi="Times New Roman Regular" w:cs="Times New Roman Regular"/>
          <w:b/>
          <w:bCs/>
          <w:color w:val="215F9A" w:themeColor="text2" w:themeTint="BF"/>
          <w:sz w:val="28"/>
          <w:szCs w:val="28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：院内转运（1）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2"/>
        <w:gridCol w:w="1134"/>
        <w:gridCol w:w="2976"/>
        <w:gridCol w:w="1701"/>
        <w:gridCol w:w="1418"/>
        <w:gridCol w:w="1105"/>
      </w:tblGrid>
      <w:tr w14:paraId="4DE57DDB">
        <w:tc>
          <w:tcPr>
            <w:tcW w:w="10456" w:type="dxa"/>
            <w:gridSpan w:val="6"/>
            <w:shd w:val="clear" w:color="auto" w:fill="DAE9F7" w:themeFill="text2" w:themeFillTint="1A"/>
          </w:tcPr>
          <w:p w14:paraId="37518845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一、转运类型</w:t>
            </w:r>
          </w:p>
        </w:tc>
      </w:tr>
      <w:tr w14:paraId="43946F98">
        <w:trPr>
          <w:trHeight w:val="69" w:hRule="atLeast"/>
        </w:trPr>
        <w:tc>
          <w:tcPr>
            <w:tcW w:w="2122" w:type="dxa"/>
            <w:shd w:val="clear" w:color="auto" w:fill="DAE9F7" w:themeFill="text2" w:themeFillTint="1A"/>
          </w:tcPr>
          <w:p w14:paraId="34A37CC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类型</w:t>
            </w:r>
          </w:p>
        </w:tc>
        <w:tc>
          <w:tcPr>
            <w:tcW w:w="4110" w:type="dxa"/>
            <w:gridSpan w:val="2"/>
            <w:shd w:val="clear" w:color="auto" w:fill="DAE9F7" w:themeFill="text2" w:themeFillTint="1A"/>
          </w:tcPr>
          <w:p w14:paraId="06458D7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场景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5FB2DC0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距离</w:t>
            </w:r>
          </w:p>
        </w:tc>
        <w:tc>
          <w:tcPr>
            <w:tcW w:w="1418" w:type="dxa"/>
            <w:shd w:val="clear" w:color="auto" w:fill="DAE9F7" w:themeFill="text2" w:themeFillTint="1A"/>
          </w:tcPr>
          <w:p w14:paraId="09CDEE4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时间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6B47FBD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风险等级</w:t>
            </w:r>
          </w:p>
        </w:tc>
      </w:tr>
      <w:tr w14:paraId="1D7F6A2F">
        <w:trPr>
          <w:trHeight w:val="362" w:hRule="atLeast"/>
        </w:trPr>
        <w:tc>
          <w:tcPr>
            <w:tcW w:w="2122" w:type="dxa"/>
          </w:tcPr>
          <w:p w14:paraId="5A4E18D2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院内转运</w:t>
            </w:r>
          </w:p>
        </w:tc>
        <w:tc>
          <w:tcPr>
            <w:tcW w:w="4110" w:type="dxa"/>
            <w:gridSpan w:val="2"/>
          </w:tcPr>
          <w:p w14:paraId="1416274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ICU→CT/导管室/手术室/其他病区</w:t>
            </w:r>
          </w:p>
        </w:tc>
        <w:tc>
          <w:tcPr>
            <w:tcW w:w="1701" w:type="dxa"/>
          </w:tcPr>
          <w:p w14:paraId="2C86619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数十~数百米</w:t>
            </w:r>
          </w:p>
        </w:tc>
        <w:tc>
          <w:tcPr>
            <w:tcW w:w="1418" w:type="dxa"/>
          </w:tcPr>
          <w:p w14:paraId="187F77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15-60 分钟</w:t>
            </w:r>
          </w:p>
        </w:tc>
        <w:tc>
          <w:tcPr>
            <w:tcW w:w="1105" w:type="dxa"/>
          </w:tcPr>
          <w:p w14:paraId="229A88D0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中等</w:t>
            </w:r>
          </w:p>
        </w:tc>
      </w:tr>
      <w:tr w14:paraId="3ECFD7CE">
        <w:trPr>
          <w:trHeight w:val="69" w:hRule="atLeast"/>
        </w:trPr>
        <w:tc>
          <w:tcPr>
            <w:tcW w:w="2122" w:type="dxa"/>
          </w:tcPr>
          <w:p w14:paraId="452F6384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院际转运</w:t>
            </w:r>
          </w:p>
        </w:tc>
        <w:tc>
          <w:tcPr>
            <w:tcW w:w="4110" w:type="dxa"/>
            <w:gridSpan w:val="2"/>
          </w:tcPr>
          <w:p w14:paraId="468CB7FA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ECMO中心之间转院</w:t>
            </w:r>
          </w:p>
        </w:tc>
        <w:tc>
          <w:tcPr>
            <w:tcW w:w="1701" w:type="dxa"/>
          </w:tcPr>
          <w:p w14:paraId="0EBC3A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数十~数百公里</w:t>
            </w:r>
          </w:p>
        </w:tc>
        <w:tc>
          <w:tcPr>
            <w:tcW w:w="1418" w:type="dxa"/>
          </w:tcPr>
          <w:p w14:paraId="59C0830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1-6 小时</w:t>
            </w:r>
          </w:p>
        </w:tc>
        <w:tc>
          <w:tcPr>
            <w:tcW w:w="1105" w:type="dxa"/>
          </w:tcPr>
          <w:p w14:paraId="0270DCB6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高</w:t>
            </w:r>
          </w:p>
        </w:tc>
      </w:tr>
      <w:tr w14:paraId="5A6D2291">
        <w:trPr>
          <w:trHeight w:val="69" w:hRule="atLeast"/>
        </w:trPr>
        <w:tc>
          <w:tcPr>
            <w:tcW w:w="2122" w:type="dxa"/>
          </w:tcPr>
          <w:p w14:paraId="70E006A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院前转运（ECPR）</w:t>
            </w:r>
          </w:p>
        </w:tc>
        <w:tc>
          <w:tcPr>
            <w:tcW w:w="4110" w:type="dxa"/>
            <w:gridSpan w:val="2"/>
          </w:tcPr>
          <w:p w14:paraId="5781B513">
            <w:pPr>
              <w:spacing w:after="0" w:line="240" w:lineRule="auto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院外→ECMO中心</w:t>
            </w:r>
          </w:p>
        </w:tc>
        <w:tc>
          <w:tcPr>
            <w:tcW w:w="1701" w:type="dxa"/>
          </w:tcPr>
          <w:p w14:paraId="14AF318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数公里</w:t>
            </w:r>
          </w:p>
        </w:tc>
        <w:tc>
          <w:tcPr>
            <w:tcW w:w="1418" w:type="dxa"/>
          </w:tcPr>
          <w:p w14:paraId="27B8238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30-90 分钟</w:t>
            </w:r>
          </w:p>
        </w:tc>
        <w:tc>
          <w:tcPr>
            <w:tcW w:w="1105" w:type="dxa"/>
          </w:tcPr>
          <w:p w14:paraId="70D9465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hint="default" w:ascii="Times New Roman Regular" w:hAnsi="Times New Roman Regular" w:cs="Times New Roman Regular"/>
              </w:rPr>
              <w:t>极高</w:t>
            </w:r>
          </w:p>
        </w:tc>
      </w:tr>
      <w:tr w14:paraId="076F0CFC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14:paraId="0C3C7C0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二、院内转运</w:t>
            </w:r>
          </w:p>
        </w:tc>
      </w:tr>
      <w:tr w14:paraId="41ADE045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  <w:vAlign w:val="center"/>
          </w:tcPr>
          <w:p w14:paraId="0645DFF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2.1 转运决策清单——"去不去？"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93B47A7">
        <w:trPr>
          <w:trHeight w:val="69" w:hRule="atLeast"/>
        </w:trPr>
        <w:tc>
          <w:tcPr>
            <w:tcW w:w="2122" w:type="dxa"/>
            <w:shd w:val="clear" w:color="auto" w:fill="DAE9F7" w:themeFill="text2" w:themeFillTint="1A"/>
          </w:tcPr>
          <w:p w14:paraId="772D9F0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问题</w:t>
            </w:r>
          </w:p>
        </w:tc>
        <w:tc>
          <w:tcPr>
            <w:tcW w:w="7229" w:type="dxa"/>
            <w:gridSpan w:val="4"/>
            <w:shd w:val="clear" w:color="auto" w:fill="DAE9F7" w:themeFill="text2" w:themeFillTint="1A"/>
          </w:tcPr>
          <w:p w14:paraId="2C39E77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说明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4471B50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CBDE285">
        <w:trPr>
          <w:trHeight w:val="69" w:hRule="atLeast"/>
        </w:trPr>
        <w:tc>
          <w:tcPr>
            <w:tcW w:w="2122" w:type="dxa"/>
          </w:tcPr>
          <w:p w14:paraId="3ABF852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必要性&gt;转运风险?</w:t>
            </w:r>
          </w:p>
        </w:tc>
        <w:tc>
          <w:tcPr>
            <w:tcW w:w="7229" w:type="dxa"/>
            <w:gridSpan w:val="4"/>
            <w:vAlign w:val="center"/>
          </w:tcPr>
          <w:p w14:paraId="6063BB0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床旁替代方案是否可行？(如肺部超声替代胸片、超声替代CT部分评估)</w:t>
            </w:r>
          </w:p>
        </w:tc>
        <w:tc>
          <w:tcPr>
            <w:tcW w:w="1105" w:type="dxa"/>
            <w:vAlign w:val="center"/>
          </w:tcPr>
          <w:p w14:paraId="6D09D1A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A5B925F">
        <w:trPr>
          <w:trHeight w:val="69" w:hRule="atLeast"/>
        </w:trPr>
        <w:tc>
          <w:tcPr>
            <w:tcW w:w="2122" w:type="dxa"/>
          </w:tcPr>
          <w:p w14:paraId="249AFD3D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患者足够稳定吗？</w:t>
            </w:r>
          </w:p>
        </w:tc>
        <w:tc>
          <w:tcPr>
            <w:tcW w:w="7229" w:type="dxa"/>
            <w:gridSpan w:val="4"/>
            <w:vAlign w:val="center"/>
          </w:tcPr>
          <w:p w14:paraId="68F1C88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MAP≥65、无活动性出血、氧合稳定、ECMO流量/扫气无近期波动</w:t>
            </w:r>
          </w:p>
        </w:tc>
        <w:tc>
          <w:tcPr>
            <w:tcW w:w="1105" w:type="dxa"/>
            <w:vAlign w:val="center"/>
          </w:tcPr>
          <w:p w14:paraId="1EA5D14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CEEA236">
        <w:trPr>
          <w:trHeight w:val="69" w:hRule="atLeast"/>
        </w:trPr>
        <w:tc>
          <w:tcPr>
            <w:tcW w:w="2122" w:type="dxa"/>
          </w:tcPr>
          <w:p w14:paraId="0A52915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转运团队完备吗？</w:t>
            </w:r>
          </w:p>
        </w:tc>
        <w:tc>
          <w:tcPr>
            <w:tcW w:w="7229" w:type="dxa"/>
            <w:gridSpan w:val="4"/>
          </w:tcPr>
          <w:p w14:paraId="1C9F28B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至少3人（医生+护士+灌注师/ECMO护士），人手不足不能走</w:t>
            </w:r>
          </w:p>
        </w:tc>
        <w:tc>
          <w:tcPr>
            <w:tcW w:w="1105" w:type="dxa"/>
          </w:tcPr>
          <w:p w14:paraId="20E9304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F8A1D76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716BCC5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2.2 转运团队最低配置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BA2AFA6">
        <w:trPr>
          <w:trHeight w:val="69" w:hRule="atLeast"/>
        </w:trPr>
        <w:tc>
          <w:tcPr>
            <w:tcW w:w="3256" w:type="dxa"/>
            <w:gridSpan w:val="2"/>
            <w:shd w:val="clear" w:color="auto" w:fill="DAE9F7" w:themeFill="text2" w:themeFillTint="1A"/>
          </w:tcPr>
          <w:p w14:paraId="3B5C706A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角色</w:t>
            </w:r>
          </w:p>
        </w:tc>
        <w:tc>
          <w:tcPr>
            <w:tcW w:w="6095" w:type="dxa"/>
            <w:gridSpan w:val="3"/>
            <w:shd w:val="clear" w:color="auto" w:fill="DAE9F7" w:themeFill="text2" w:themeFillTint="1A"/>
          </w:tcPr>
          <w:p w14:paraId="664D50A1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职责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242933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人数</w:t>
            </w:r>
          </w:p>
        </w:tc>
      </w:tr>
      <w:tr w14:paraId="639858B0">
        <w:trPr>
          <w:trHeight w:val="69" w:hRule="atLeast"/>
        </w:trPr>
        <w:tc>
          <w:tcPr>
            <w:tcW w:w="3256" w:type="dxa"/>
            <w:gridSpan w:val="2"/>
          </w:tcPr>
          <w:p w14:paraId="014475F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转运医生（ICU/ECMO 主治）</w:t>
            </w:r>
          </w:p>
        </w:tc>
        <w:tc>
          <w:tcPr>
            <w:tcW w:w="6095" w:type="dxa"/>
            <w:gridSpan w:val="3"/>
          </w:tcPr>
          <w:p w14:paraId="42293FE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全程决策、病情变化处理、目标科室衔接</w:t>
            </w:r>
          </w:p>
        </w:tc>
        <w:tc>
          <w:tcPr>
            <w:tcW w:w="1105" w:type="dxa"/>
          </w:tcPr>
          <w:p w14:paraId="2E613E1B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</w:tr>
      <w:tr w14:paraId="0A7FA337">
        <w:trPr>
          <w:trHeight w:val="69" w:hRule="atLeast"/>
        </w:trPr>
        <w:tc>
          <w:tcPr>
            <w:tcW w:w="3256" w:type="dxa"/>
            <w:gridSpan w:val="2"/>
          </w:tcPr>
          <w:p w14:paraId="4677F65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护士/灌注师</w:t>
            </w:r>
          </w:p>
        </w:tc>
        <w:tc>
          <w:tcPr>
            <w:tcW w:w="6095" w:type="dxa"/>
            <w:gridSpan w:val="3"/>
          </w:tcPr>
          <w:p w14:paraId="4B80F98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设备操作+参数监控、应急处置</w:t>
            </w:r>
          </w:p>
        </w:tc>
        <w:tc>
          <w:tcPr>
            <w:tcW w:w="1105" w:type="dxa"/>
          </w:tcPr>
          <w:p w14:paraId="226B53E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</w:tr>
      <w:tr w14:paraId="317F0EE6">
        <w:trPr>
          <w:trHeight w:val="69" w:hRule="atLeast"/>
        </w:trPr>
        <w:tc>
          <w:tcPr>
            <w:tcW w:w="3256" w:type="dxa"/>
            <w:gridSpan w:val="2"/>
          </w:tcPr>
          <w:p w14:paraId="71C0FA8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ICU 护士</w:t>
            </w:r>
          </w:p>
        </w:tc>
        <w:tc>
          <w:tcPr>
            <w:tcW w:w="6095" w:type="dxa"/>
            <w:gridSpan w:val="3"/>
          </w:tcPr>
          <w:p w14:paraId="23A47AA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生命体征监测、药物管理、管路保护</w:t>
            </w:r>
          </w:p>
        </w:tc>
        <w:tc>
          <w:tcPr>
            <w:tcW w:w="1105" w:type="dxa"/>
          </w:tcPr>
          <w:p w14:paraId="2E669C18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</w:t>
            </w:r>
          </w:p>
        </w:tc>
      </w:tr>
      <w:tr w14:paraId="3B0B3FFA">
        <w:trPr>
          <w:trHeight w:val="69" w:hRule="atLeast"/>
        </w:trPr>
        <w:tc>
          <w:tcPr>
            <w:tcW w:w="3256" w:type="dxa"/>
            <w:gridSpan w:val="2"/>
          </w:tcPr>
          <w:p w14:paraId="576C424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工勤/辅助</w:t>
            </w:r>
          </w:p>
        </w:tc>
        <w:tc>
          <w:tcPr>
            <w:tcW w:w="6095" w:type="dxa"/>
            <w:gridSpan w:val="3"/>
          </w:tcPr>
          <w:p w14:paraId="65A9E5F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推床、开路、电梯协调</w:t>
            </w:r>
          </w:p>
        </w:tc>
        <w:tc>
          <w:tcPr>
            <w:tcW w:w="1105" w:type="dxa"/>
          </w:tcPr>
          <w:p w14:paraId="48247E3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1-2</w:t>
            </w:r>
          </w:p>
        </w:tc>
      </w:tr>
      <w:tr w14:paraId="0DC0743F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6A139ED0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2.3 转运设备核查清单（出发前必做）</w:t>
            </w:r>
            <w:r>
              <w:rPr>
                <w:rFonts w:hint="default" w:ascii="Times New Roman Regular" w:hAnsi="Times New Roman Regular" w:cs="Times New Roman Regular"/>
                <w:b/>
                <w:bCs/>
              </w:rPr>
              <w:tab/>
            </w:r>
          </w:p>
        </w:tc>
      </w:tr>
      <w:tr w14:paraId="59220453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2B5E3B9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ECMO设备</w:t>
            </w:r>
          </w:p>
        </w:tc>
      </w:tr>
      <w:tr w14:paraId="0CC4E3DC">
        <w:trPr>
          <w:trHeight w:val="69" w:hRule="atLeast"/>
        </w:trPr>
        <w:tc>
          <w:tcPr>
            <w:tcW w:w="9351" w:type="dxa"/>
            <w:gridSpan w:val="5"/>
            <w:shd w:val="clear" w:color="auto" w:fill="DAE9F7" w:themeFill="text2" w:themeFillTint="1A"/>
          </w:tcPr>
          <w:p w14:paraId="559BDF18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57CA73A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E95A4DE">
        <w:trPr>
          <w:trHeight w:val="69" w:hRule="atLeast"/>
        </w:trPr>
        <w:tc>
          <w:tcPr>
            <w:tcW w:w="9351" w:type="dxa"/>
            <w:gridSpan w:val="5"/>
          </w:tcPr>
          <w:p w14:paraId="44595E2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主机（电量/电池 ≥ 80%）、UPS 已连接</w:t>
            </w:r>
          </w:p>
        </w:tc>
        <w:tc>
          <w:tcPr>
            <w:tcW w:w="1105" w:type="dxa"/>
          </w:tcPr>
          <w:p w14:paraId="337F1D5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55AB5E2">
        <w:trPr>
          <w:trHeight w:val="69" w:hRule="atLeast"/>
        </w:trPr>
        <w:tc>
          <w:tcPr>
            <w:tcW w:w="9351" w:type="dxa"/>
            <w:gridSpan w:val="5"/>
          </w:tcPr>
          <w:p w14:paraId="65593930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手摇泵（固定在转运车上，操作者触手可及）</w:t>
            </w:r>
          </w:p>
        </w:tc>
        <w:tc>
          <w:tcPr>
            <w:tcW w:w="1105" w:type="dxa"/>
          </w:tcPr>
          <w:p w14:paraId="2AF3C85F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CB75111">
        <w:trPr>
          <w:trHeight w:val="69" w:hRule="atLeast"/>
        </w:trPr>
        <w:tc>
          <w:tcPr>
            <w:tcW w:w="9351" w:type="dxa"/>
            <w:gridSpan w:val="5"/>
          </w:tcPr>
          <w:p w14:paraId="68055E4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管道钳 × 4（在手边，非装包里）</w:t>
            </w:r>
          </w:p>
        </w:tc>
        <w:tc>
          <w:tcPr>
            <w:tcW w:w="1105" w:type="dxa"/>
          </w:tcPr>
          <w:p w14:paraId="30FF4999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6834DD2">
        <w:trPr>
          <w:trHeight w:val="69" w:hRule="atLeast"/>
        </w:trPr>
        <w:tc>
          <w:tcPr>
            <w:tcW w:w="9351" w:type="dxa"/>
            <w:gridSpan w:val="5"/>
          </w:tcPr>
          <w:p w14:paraId="2E6EB86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氧源（氧气瓶压力 ____ MPa，估算可用 ____ min）  空氧混合器（如需要） + 接管</w:t>
            </w:r>
          </w:p>
        </w:tc>
        <w:tc>
          <w:tcPr>
            <w:tcW w:w="1105" w:type="dxa"/>
          </w:tcPr>
          <w:p w14:paraId="68A6151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0B4BFF2">
        <w:trPr>
          <w:trHeight w:val="69" w:hRule="atLeast"/>
        </w:trPr>
        <w:tc>
          <w:tcPr>
            <w:tcW w:w="9351" w:type="dxa"/>
            <w:gridSpan w:val="5"/>
          </w:tcPr>
          <w:p w14:paraId="71FDD67E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变温水箱（转运专用小型，如无→关闭水箱、断开，短途可耐受 30-60 min）</w:t>
            </w:r>
          </w:p>
        </w:tc>
        <w:tc>
          <w:tcPr>
            <w:tcW w:w="1105" w:type="dxa"/>
          </w:tcPr>
          <w:p w14:paraId="321A943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32C0674">
        <w:trPr>
          <w:trHeight w:val="69" w:hRule="atLeast"/>
        </w:trPr>
        <w:tc>
          <w:tcPr>
            <w:tcW w:w="9351" w:type="dxa"/>
            <w:gridSpan w:val="5"/>
          </w:tcPr>
          <w:p w14:paraId="2DD77E0F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参数显示——转运中操作者需始终能看到</w:t>
            </w:r>
          </w:p>
        </w:tc>
        <w:tc>
          <w:tcPr>
            <w:tcW w:w="1105" w:type="dxa"/>
          </w:tcPr>
          <w:p w14:paraId="3F0BCFB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F0E829F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3D1BD02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监护与抢救</w:t>
            </w:r>
          </w:p>
        </w:tc>
      </w:tr>
      <w:tr w14:paraId="73DF4E89">
        <w:trPr>
          <w:trHeight w:val="69" w:hRule="atLeast"/>
        </w:trPr>
        <w:tc>
          <w:tcPr>
            <w:tcW w:w="9351" w:type="dxa"/>
            <w:gridSpan w:val="5"/>
            <w:shd w:val="clear" w:color="auto" w:fill="DAE9F7" w:themeFill="text2" w:themeFillTint="1A"/>
          </w:tcPr>
          <w:p w14:paraId="079B0437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物品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60FD6382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54DFC34E">
        <w:trPr>
          <w:trHeight w:val="69" w:hRule="atLeast"/>
        </w:trPr>
        <w:tc>
          <w:tcPr>
            <w:tcW w:w="9351" w:type="dxa"/>
            <w:gridSpan w:val="5"/>
          </w:tcPr>
          <w:p w14:paraId="61B383B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转运监护仪（</w:t>
            </w:r>
            <w:r>
              <w:rPr>
                <w:rFonts w:hint="default" w:ascii="Times New Roman Regular" w:hAnsi="Times New Roman Regular" w:cs="Times New Roman Regular"/>
              </w:rPr>
              <w:t>HR/MAP/SpO</w:t>
            </w:r>
            <w:r>
              <w:rPr>
                <w:rFonts w:hint="default" w:ascii="Times New Roman Regular" w:hAnsi="Times New Roman Regular" w:cs="Times New Roman Regular"/>
              </w:rPr>
              <w:t>₂</w:t>
            </w:r>
            <w:r>
              <w:rPr>
                <w:rFonts w:hint="default" w:ascii="Times New Roman Regular" w:hAnsi="Times New Roman Regular" w:cs="Times New Roman Regular"/>
              </w:rPr>
              <w:t>/etCO</w:t>
            </w:r>
            <w:r>
              <w:rPr>
                <w:rFonts w:hint="default" w:ascii="Times New Roman Regular" w:hAnsi="Times New Roman Regular" w:cs="Times New Roman Regular"/>
              </w:rPr>
              <w:t>₂</w:t>
            </w:r>
            <w:r>
              <w:rPr>
                <w:rFonts w:hint="default" w:ascii="Times New Roman Regular" w:hAnsi="Times New Roman Regular" w:cs="Times New Roman Regular"/>
              </w:rPr>
              <w:t>，ECG 导联）</w:t>
            </w:r>
          </w:p>
        </w:tc>
        <w:tc>
          <w:tcPr>
            <w:tcW w:w="1105" w:type="dxa"/>
          </w:tcPr>
          <w:p w14:paraId="3ED0372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E2F93A2">
        <w:trPr>
          <w:trHeight w:val="69" w:hRule="atLeast"/>
        </w:trPr>
        <w:tc>
          <w:tcPr>
            <w:tcW w:w="9351" w:type="dxa"/>
            <w:gridSpan w:val="5"/>
          </w:tcPr>
          <w:p w14:paraId="45E4B73B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转运呼吸机（如机械通气），电量 ____%</w:t>
            </w:r>
          </w:p>
        </w:tc>
        <w:tc>
          <w:tcPr>
            <w:tcW w:w="1105" w:type="dxa"/>
          </w:tcPr>
          <w:p w14:paraId="72562753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D9E0DF3">
        <w:trPr>
          <w:trHeight w:val="69" w:hRule="atLeast"/>
        </w:trPr>
        <w:tc>
          <w:tcPr>
            <w:tcW w:w="9351" w:type="dxa"/>
            <w:gridSpan w:val="5"/>
          </w:tcPr>
          <w:p w14:paraId="3560EBD6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除颤仪（充满电，电极片贴在患者身上）</w:t>
            </w:r>
          </w:p>
        </w:tc>
        <w:tc>
          <w:tcPr>
            <w:tcW w:w="1105" w:type="dxa"/>
          </w:tcPr>
          <w:p w14:paraId="6244347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63A2C3F4">
        <w:trPr>
          <w:trHeight w:val="69" w:hRule="atLeast"/>
        </w:trPr>
        <w:tc>
          <w:tcPr>
            <w:tcW w:w="9351" w:type="dxa"/>
            <w:gridSpan w:val="5"/>
          </w:tcPr>
          <w:p w14:paraId="7B8CC4C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抢救药盒：肾上腺素/去甲肾上腺素/胺碘酮/阿托品/肝素/鱼精蛋白</w:t>
            </w:r>
          </w:p>
        </w:tc>
        <w:tc>
          <w:tcPr>
            <w:tcW w:w="1105" w:type="dxa"/>
          </w:tcPr>
          <w:p w14:paraId="62654F5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ED22FF0">
        <w:trPr>
          <w:trHeight w:val="69" w:hRule="atLeast"/>
        </w:trPr>
        <w:tc>
          <w:tcPr>
            <w:tcW w:w="9351" w:type="dxa"/>
            <w:gridSpan w:val="5"/>
          </w:tcPr>
          <w:p w14:paraId="5CF0D0C3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便携式吸引器</w:t>
            </w:r>
          </w:p>
        </w:tc>
        <w:tc>
          <w:tcPr>
            <w:tcW w:w="1105" w:type="dxa"/>
          </w:tcPr>
          <w:p w14:paraId="1D85BDE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10C2DCB">
        <w:trPr>
          <w:trHeight w:val="69" w:hRule="atLeast"/>
        </w:trPr>
        <w:tc>
          <w:tcPr>
            <w:tcW w:w="9351" w:type="dxa"/>
            <w:gridSpan w:val="5"/>
          </w:tcPr>
          <w:p w14:paraId="7D3A892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输液泵/注射泵（电池充足），确保血管活性药不间断</w:t>
            </w:r>
          </w:p>
        </w:tc>
        <w:tc>
          <w:tcPr>
            <w:tcW w:w="1105" w:type="dxa"/>
          </w:tcPr>
          <w:p w14:paraId="49AC4627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7AB6CB51">
        <w:trPr>
          <w:trHeight w:val="69" w:hRule="atLeast"/>
        </w:trPr>
        <w:tc>
          <w:tcPr>
            <w:tcW w:w="10456" w:type="dxa"/>
            <w:gridSpan w:val="6"/>
            <w:shd w:val="clear" w:color="auto" w:fill="DAE9F7" w:themeFill="text2" w:themeFillTint="1A"/>
          </w:tcPr>
          <w:p w14:paraId="4234B2A9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患者准备</w:t>
            </w:r>
          </w:p>
        </w:tc>
      </w:tr>
      <w:tr w14:paraId="79EEF352">
        <w:trPr>
          <w:trHeight w:val="69" w:hRule="atLeast"/>
        </w:trPr>
        <w:tc>
          <w:tcPr>
            <w:tcW w:w="9351" w:type="dxa"/>
            <w:gridSpan w:val="5"/>
            <w:shd w:val="clear" w:color="auto" w:fill="DAE9F7" w:themeFill="text2" w:themeFillTint="1A"/>
          </w:tcPr>
          <w:p w14:paraId="798C623F">
            <w:pPr>
              <w:spacing w:after="0" w:line="240" w:lineRule="auto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核查项</w:t>
            </w:r>
          </w:p>
        </w:tc>
        <w:tc>
          <w:tcPr>
            <w:tcW w:w="1105" w:type="dxa"/>
            <w:shd w:val="clear" w:color="auto" w:fill="DAE9F7" w:themeFill="text2" w:themeFillTint="1A"/>
          </w:tcPr>
          <w:p w14:paraId="19A2143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  <w:b/>
                <w:bCs/>
              </w:rPr>
            </w:pPr>
            <w:r>
              <w:rPr>
                <w:rFonts w:hint="default" w:ascii="Times New Roman Regular" w:hAnsi="Times New Roman Regular" w:cs="Times New Roman Regular"/>
                <w:b/>
                <w:bCs/>
              </w:rPr>
              <w:t>执行</w:t>
            </w:r>
          </w:p>
        </w:tc>
      </w:tr>
      <w:tr w14:paraId="234ADD16">
        <w:trPr>
          <w:trHeight w:val="69" w:hRule="atLeast"/>
        </w:trPr>
        <w:tc>
          <w:tcPr>
            <w:tcW w:w="9351" w:type="dxa"/>
            <w:gridSpan w:val="5"/>
          </w:tcPr>
          <w:p w14:paraId="18595F6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所有管路连接处扎带已加固</w:t>
            </w:r>
          </w:p>
        </w:tc>
        <w:tc>
          <w:tcPr>
            <w:tcW w:w="1105" w:type="dxa"/>
          </w:tcPr>
          <w:p w14:paraId="37ADD82C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2531A494">
        <w:trPr>
          <w:trHeight w:val="69" w:hRule="atLeast"/>
        </w:trPr>
        <w:tc>
          <w:tcPr>
            <w:tcW w:w="9351" w:type="dxa"/>
            <w:gridSpan w:val="5"/>
          </w:tcPr>
          <w:p w14:paraId="5F227632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插管深度已标记（肉眼可见的标记线）</w:t>
            </w:r>
          </w:p>
        </w:tc>
        <w:tc>
          <w:tcPr>
            <w:tcW w:w="1105" w:type="dxa"/>
          </w:tcPr>
          <w:p w14:paraId="481D401E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4528BE83">
        <w:trPr>
          <w:trHeight w:val="69" w:hRule="atLeast"/>
        </w:trPr>
        <w:tc>
          <w:tcPr>
            <w:tcW w:w="9351" w:type="dxa"/>
            <w:gridSpan w:val="5"/>
          </w:tcPr>
          <w:p w14:paraId="0A3773D1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ECMO 管路无张力/无牵拉——转运体位下管路自然弯曲、不紧绷</w:t>
            </w:r>
          </w:p>
        </w:tc>
        <w:tc>
          <w:tcPr>
            <w:tcW w:w="1105" w:type="dxa"/>
          </w:tcPr>
          <w:p w14:paraId="0C62CB95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3E9317C7">
        <w:trPr>
          <w:trHeight w:val="69" w:hRule="atLeast"/>
        </w:trPr>
        <w:tc>
          <w:tcPr>
            <w:tcW w:w="9351" w:type="dxa"/>
            <w:gridSpan w:val="5"/>
          </w:tcPr>
          <w:p w14:paraId="5668007C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镇静镇痛充分（避免转运中躁动导致管路脱出）</w:t>
            </w:r>
          </w:p>
        </w:tc>
        <w:tc>
          <w:tcPr>
            <w:tcW w:w="1105" w:type="dxa"/>
          </w:tcPr>
          <w:p w14:paraId="6EE7682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185747A6">
        <w:trPr>
          <w:trHeight w:val="69" w:hRule="atLeast"/>
        </w:trPr>
        <w:tc>
          <w:tcPr>
            <w:tcW w:w="9351" w:type="dxa"/>
            <w:gridSpan w:val="5"/>
          </w:tcPr>
          <w:p w14:paraId="104EB8B5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必要时提前肌松（转运中无法处理管路脱出）</w:t>
            </w:r>
          </w:p>
        </w:tc>
        <w:tc>
          <w:tcPr>
            <w:tcW w:w="1105" w:type="dxa"/>
          </w:tcPr>
          <w:p w14:paraId="3710BE0A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EC65F24">
        <w:trPr>
          <w:trHeight w:val="69" w:hRule="atLeast"/>
        </w:trPr>
        <w:tc>
          <w:tcPr>
            <w:tcW w:w="9351" w:type="dxa"/>
            <w:gridSpan w:val="5"/>
          </w:tcPr>
          <w:p w14:paraId="0C8C01A8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ACT 已查，在目标范围</w:t>
            </w:r>
          </w:p>
        </w:tc>
        <w:tc>
          <w:tcPr>
            <w:tcW w:w="1105" w:type="dxa"/>
          </w:tcPr>
          <w:p w14:paraId="72284AB1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5147C95F">
        <w:trPr>
          <w:trHeight w:val="69" w:hRule="atLeast"/>
        </w:trPr>
        <w:tc>
          <w:tcPr>
            <w:tcW w:w="9351" w:type="dxa"/>
            <w:gridSpan w:val="5"/>
          </w:tcPr>
          <w:p w14:paraId="3DF75F67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Hb/PLT 已查，血制品已备</w:t>
            </w:r>
          </w:p>
        </w:tc>
        <w:tc>
          <w:tcPr>
            <w:tcW w:w="1105" w:type="dxa"/>
          </w:tcPr>
          <w:p w14:paraId="5613D10D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  <w:tr w14:paraId="039EB300">
        <w:trPr>
          <w:trHeight w:val="69" w:hRule="atLeast"/>
        </w:trPr>
        <w:tc>
          <w:tcPr>
            <w:tcW w:w="9351" w:type="dxa"/>
            <w:gridSpan w:val="5"/>
          </w:tcPr>
          <w:p w14:paraId="358F3274">
            <w:pPr>
              <w:spacing w:after="0" w:line="240" w:lineRule="auto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转运途中无法采血→ 出发前完成最近一次血气+ACT</w:t>
            </w:r>
          </w:p>
        </w:tc>
        <w:tc>
          <w:tcPr>
            <w:tcW w:w="1105" w:type="dxa"/>
          </w:tcPr>
          <w:p w14:paraId="518F5AE4">
            <w:pPr>
              <w:spacing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</w:rPr>
              <w:t>□</w:t>
            </w:r>
          </w:p>
        </w:tc>
      </w:tr>
    </w:tbl>
    <w:p w14:paraId="2D0065CC">
      <w:pP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</w:pP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核心原则：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 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>转运 ≠ 移动——是移动中的 ICU。安全第一，速度第二。</w:t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  <w:r>
        <w:rPr>
          <w:rFonts w:hint="default" w:ascii="Times New Roman Regular" w:hAnsi="Times New Roman Regular" w:eastAsia="楷体" w:cs="Times New Roman Regular"/>
          <w:b/>
          <w:bCs/>
          <w:color w:val="215F9A" w:themeColor="text2" w:themeTint="BF"/>
          <w14:textFill>
            <w14:solidFill>
              <w14:schemeClr w14:val="tx2">
                <w14:lumMod w14:val="75000"/>
                <w14:lumOff w14:val="25000"/>
              </w14:schemeClr>
            </w14:solidFill>
          </w14:textFill>
        </w:rPr>
        <w:tab/>
      </w:r>
    </w:p>
    <w:bookmarkEnd w:id="0"/>
    <w:sectPr>
      <w:headerReference w:type="default" r:id="rId7"/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43578"/>
    <w:rsid w:val="00095CB9"/>
    <w:rsid w:val="000A6C22"/>
    <w:rsid w:val="000C4347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4E781A"/>
    <w:rsid w:val="00504185"/>
    <w:rsid w:val="0051666D"/>
    <w:rsid w:val="005441CD"/>
    <w:rsid w:val="0055352E"/>
    <w:rsid w:val="005C1AE6"/>
    <w:rsid w:val="005E034F"/>
    <w:rsid w:val="005E3FFF"/>
    <w:rsid w:val="005E73E4"/>
    <w:rsid w:val="00615F67"/>
    <w:rsid w:val="0066296A"/>
    <w:rsid w:val="0067489E"/>
    <w:rsid w:val="006A41B1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B0B4D"/>
    <w:rsid w:val="009C7446"/>
    <w:rsid w:val="009D0729"/>
    <w:rsid w:val="009F75BC"/>
    <w:rsid w:val="00A04832"/>
    <w:rsid w:val="00A34361"/>
    <w:rsid w:val="00A47BF7"/>
    <w:rsid w:val="00AC0B4A"/>
    <w:rsid w:val="00AD407A"/>
    <w:rsid w:val="00AD480D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0730B"/>
    <w:rsid w:val="00D271CA"/>
    <w:rsid w:val="00D30B51"/>
    <w:rsid w:val="00D344A5"/>
    <w:rsid w:val="00D718EE"/>
    <w:rsid w:val="00D812BC"/>
    <w:rsid w:val="00DF5EFA"/>
    <w:rsid w:val="00E07998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A4B05"/>
    <w:rsid w:val="00FA7959"/>
    <w:rsid w:val="00FF74FF"/>
    <w:rsid w:val="1B76742B"/>
    <w:rsid w:val="FF738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817</Words>
  <Characters>944</Characters>
  <Lines>68</Lines>
  <Paragraphs>113</Paragraphs>
  <TotalTime>600</TotalTime>
  <ScaleCrop>false</ScaleCrop>
  <LinksUpToDate>false</LinksUpToDate>
  <CharactersWithSpaces>991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2026-08-25T16:09:00Z</dcterms:created>
  <dc:creator>树生 周</dc:creator>
  <cp:lastModifiedBy>南宫晓冬</cp:lastModifiedBy>
  <dcterms:modified xsi:type="dcterms:W3CDTF">2026-09-13T22:28:31Z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83DF37C5923445908D44C4329B3C0597_12</vt:lpwstr>
  </property>
</Properties>
</file>