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DC4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jc w:val="center"/>
        <w:textAlignment w:val="auto"/>
        <w:rPr>
          <w:rFonts w:hint="default" w:ascii="Times New Roman" w:hAnsi="Times New Roman" w:eastAsia="黑体" w:cs="Times New Roman"/>
          <w:sz w:val="48"/>
          <w:szCs w:val="48"/>
          <w:lang w:val="en-US" w:eastAsia="zh-CN"/>
        </w:rPr>
      </w:pPr>
      <w:r>
        <w:rPr>
          <w:rFonts w:hint="default" w:ascii="Times New Roman" w:hAnsi="Times New Roman" w:eastAsia="黑体" w:cs="Times New Roman"/>
          <w:sz w:val="48"/>
          <w:szCs w:val="48"/>
          <w:lang w:val="en-US" w:eastAsia="zh-CN"/>
        </w:rPr>
        <w:t>ECMO checklist 目录</w:t>
      </w:r>
    </w:p>
    <w:p w14:paraId="15A9E4E4">
      <w:pPr>
        <w:numPr>
          <w:ilvl w:val="0"/>
          <w:numId w:val="1"/>
        </w:numPr>
        <w:ind w:left="425" w:leftChars="0" w:hanging="425" w:firstLineChars="0"/>
        <w:jc w:val="both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ECMO 设备及耗材日常核查清单（表1-3）</w:t>
      </w:r>
    </w:p>
    <w:p w14:paraId="1B115DF6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ECMO操作及质量评价表（表4-7）</w:t>
      </w:r>
    </w:p>
    <w:p w14:paraId="26F7B2E2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VA-ECMO临床启动快速筛查评估表（表8-9）</w:t>
      </w:r>
    </w:p>
    <w:p w14:paraId="098A4C67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VV-ECMO临床启动快速筛查评估表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（表10-11）</w:t>
      </w:r>
    </w:p>
    <w:p w14:paraId="47782DF5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ECPR（体外心肺复苏）专项流程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（表12-14）</w:t>
      </w:r>
    </w:p>
    <w:p w14:paraId="0C3820E5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VA-ECMO 治疗前预测生存率评估单（SAVE评分）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（表15）</w:t>
      </w:r>
    </w:p>
    <w:p w14:paraId="605AF93E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VV-ECMO治疗前预测生存率评估单（RESP评分）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（表16）</w:t>
      </w:r>
      <w:bookmarkStart w:id="0" w:name="_GoBack"/>
      <w:bookmarkEnd w:id="0"/>
    </w:p>
    <w:p w14:paraId="354AB647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ECMO（体外膜肺氧合）治疗知情同意书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（表17）</w:t>
      </w:r>
    </w:p>
    <w:p w14:paraId="1A3AC68B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ECMO治疗启动参数与初始管理表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（表18-21）</w:t>
      </w:r>
    </w:p>
    <w:p w14:paraId="77B5F1EB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VA-ECMO监测与管理规范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（表22）</w:t>
      </w:r>
    </w:p>
    <w:p w14:paraId="536997C6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VA-ECMO并发症监测与管理速查表（表23）</w:t>
      </w:r>
    </w:p>
    <w:p w14:paraId="7AC8548F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VV-ECMO监测与管理规范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（表24-30）</w:t>
      </w:r>
    </w:p>
    <w:p w14:paraId="6B74CA60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ECMO重症超声可视化管理SOP打卡单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（表31-34）</w:t>
      </w:r>
    </w:p>
    <w:p w14:paraId="66684D6D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ECMO每日检查记录单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（表35-38）</w:t>
      </w:r>
    </w:p>
    <w:p w14:paraId="6CCD814A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ECMO 患者神经功能监测与脑保护多模态管理表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（表39）</w:t>
      </w:r>
    </w:p>
    <w:p w14:paraId="5709EDCA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default" w:ascii="宋体" w:hAnsi="宋体" w:eastAsia="宋体" w:cs="宋体"/>
          <w:sz w:val="28"/>
          <w:szCs w:val="28"/>
          <w:lang w:val="en-US" w:eastAsia="zh-CN"/>
        </w:rPr>
        <w:t>ECMO 紧急驱动器（手摇泵）使用流程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（表40）</w:t>
      </w:r>
    </w:p>
    <w:p w14:paraId="22D8E405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default" w:ascii="宋体" w:hAnsi="宋体" w:eastAsia="宋体" w:cs="宋体"/>
          <w:sz w:val="28"/>
          <w:szCs w:val="28"/>
          <w:lang w:val="en-US" w:eastAsia="zh-CN"/>
        </w:rPr>
        <w:t>ECMO 氧代谢评估与容量复苏决策通道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（表41-42）</w:t>
      </w:r>
    </w:p>
    <w:p w14:paraId="3DD4C9D1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ECMO患者转运流程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（表43-45）</w:t>
      </w:r>
    </w:p>
    <w:p w14:paraId="63465FB3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VV-ECMO撤机流程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（表46）</w:t>
      </w:r>
    </w:p>
    <w:p w14:paraId="20397FFB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VA-ECMO撤机流程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（表47）</w:t>
      </w:r>
    </w:p>
    <w:p w14:paraId="127F081D">
      <w:pPr>
        <w:numPr>
          <w:numId w:val="0"/>
        </w:numPr>
        <w:jc w:val="both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sectPr>
      <w:headerReference w:type="default" r:id="rId6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2E6085B"/>
    <w:multiLevelType w:val="singleLevel"/>
    <w:tmpl w:val="C2E608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9D72B5"/>
    <w:rsid w:val="2D0F1517"/>
    <w:rsid w:val="51F223CA"/>
    <w:rsid w:val="53BA1433"/>
    <w:rsid w:val="60483AFC"/>
    <w:rsid w:val="61C84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2026-09-08T14:07:18Z</dcterms:created>
  <dc:creator>LENOVO</dc:creator>
  <cp:lastModifiedBy>南宫晓冬</cp:lastModifiedBy>
  <dcterms:modified xsi:type="dcterms:W3CDTF">2026-09-08T15:14:38Z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eyJoZGlkIjoiZDY3M2VjYzg4ZWUzYjg2ZDA4MWRmYmNhOTYzMDliZjciLCJ1c2VySWQiOiIyNjY4NDU5MjcifQ==</vt:lpwstr>
  </property>
  <property fmtid="{D5CDD505-2E9C-101B-9397-08002B2CF9AE}" pid="4" name="ICV">
    <vt:lpwstr>BC120C0141F149689198048CC0447A3C_12</vt:lpwstr>
  </property>
</Properties>
</file>