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0000"/>
          <w:sz w:val="44"/>
          <w:szCs w:val="44"/>
          <w:bCs/>
        </w:rPr>
        <w:t>停车明细分析报告</w:t>
      </w:r>
    </w:p>
    <w:p>
      <w:pPr>
        <w:pStyle w:val="Heading2"/>
      </w:pPr>
      <w:r>
        <w:t>报告信息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color w:val="000000"/>
        </w:rPr>
        <w:t>数据周期：2026-04-01 – 2026-04-30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color w:val="000000"/>
        </w:rPr>
        <w:t>生成时间：2026-06-21 22:20:13</w:t>
      </w:r>
    </w:p>
    <w:p>
      <w:pPr>
        <w:pStyle w:val="Heading1"/>
      </w:pPr>
      <w:r>
        <w:t>一、关键指标（硬性数字）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W w:w="9360" w:type="dxa"/>
      </w:tblPr>
      <w:tblGrid>
        <w:gridCol w:w="3120"/>
        <w:gridCol w:w="3120"/>
        <w:gridCol w:w="3120"/>
      </w:tblGrid>
      <w:tr>
        <w:tc>
          <w:tcPr>
            <w:tcW w:type="dxa" w:w="3600"/>
            <w:shd w:fill="1F4E79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bCs/>
              </w:rPr>
              <w:t>指标</w:t>
            </w:r>
          </w:p>
        </w:tc>
        <w:tc>
          <w:tcPr>
            <w:tcW w:type="dxa" w:w="2400"/>
            <w:shd w:fill="1F4E79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bCs/>
              </w:rPr>
              <w:t>填写值</w:t>
            </w:r>
          </w:p>
        </w:tc>
        <w:tc>
          <w:tcPr>
            <w:tcW w:type="dxa" w:w="3360"/>
            <w:shd w:fill="1F4E79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bCs/>
              </w:rPr>
              <w:t>示例预期值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1. 总交易笔数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3674 笔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14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2. 应收总金额（元）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¥105,795.00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¥540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3. 实收总金额（元）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¥57,397.50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¥390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4. 实际抵扣总额（元）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¥48,285.00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¥150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5. 实收率（%）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54.3%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72.2%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6. 主要支付方式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微信 ×1435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 xml:space="preserve">= </w:t>
            </w:r>
            <w:r>
              <w:rPr>
                <w:color w:val="595959"/>
              </w:rPr>
              <w:t>微信</w:t>
            </w:r>
            <w:r>
              <w:rPr>
                <w:color w:val="595959"/>
              </w:rPr>
              <w:t xml:space="preserve"> ×6</w:t>
            </w:r>
          </w:p>
        </w:tc>
      </w:tr>
    </w:tbl>
    <w:p>
      <w:pPr>
        <w:pStyle w:val="Heading1"/>
      </w:pPr>
      <w:r>
        <w:t>二、支付方式与渠道</w:t>
      </w:r>
    </w:p>
    <w:p>
      <w:pPr>
        <w:spacing w:after="120"/>
      </w:pPr>
      <w:r>
        <w:rPr>
          <w:color w:val="000000"/>
        </w:rPr>
        <w:t>本周期共3,674笔交易，覆盖5种支付方式及4种支付渠道。微信支付为第一大方式（1,435笔，39.1%），实收55,155元；会员积分次之（1,396笔，38.0%），应收19,597.50元全部以积分抵扣，实收为0；优惠券第三（777笔，21.2%），实收同为0。支付宝63笔（1.7%），现金3笔（0.1%）。渠道方面，线上支付以3,122笔（85.0%）占绝对主导，出口贴码544笔（14.8%），出口缴费机5笔，遥控放行登记3笔。</w:t>
      </w:r>
    </w:p>
    <w:p>
      <w:pPr>
        <w:pStyle w:val="Heading2"/>
      </w:pPr>
      <w:r>
        <w:t>（一）支付方式分布图</w:t>
      </w:r>
    </w:p>
    <w:p>
      <w:r>
        <w:rPr>
          <w:color w:val="1F4D78"/>
        </w:rPr>
        <w:t>图1：支付方式分布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5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ethod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三、停车时长分析</w:t>
      </w:r>
    </w:p>
    <w:p>
      <w:pPr>
        <w:spacing w:after="120"/>
      </w:pPr>
      <w:r>
        <w:rPr>
          <w:color w:val="000000"/>
        </w:rPr>
        <w:t>本周期有效停车记录3,674笔。平均停车时长3.27小时，中位时长2.47小时，整体呈短时停放特征。分布上，0-1小时短停最多（1,491笔，占40.6%），2-3小时次之（1,271笔，34.6%），两者合计占75.2%。4-5小时中长停放573笔（15.6%），6小时以上合计339笔（9.2%）。超过12小时的长时停车78笔（2.1%），最长记录165.45小时（约7天），应收322.50元，需关注僵尸车辆或计费异常风险。</w:t>
      </w:r>
    </w:p>
    <w:p>
      <w:pPr>
        <w:pStyle w:val="Heading2"/>
        <w:spacing w:after="120"/>
      </w:pPr>
      <w:r>
        <w:rPr>
          <w:color w:val="000000"/>
        </w:rPr>
        <w:t>（一）停车时长分布图</w:t>
      </w:r>
    </w:p>
    <w:p>
      <w:r>
        <w:rPr>
          <w:color w:val="1F4D78"/>
        </w:rPr>
        <w:t>图2：停车时长分布（每2小时）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90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tion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120"/>
      </w:pPr>
      <w:r>
        <w:rPr>
          <w:color w:val="000000"/>
        </w:rPr>
        <w:t>（二）每日入场时间分布图</w:t>
      </w:r>
    </w:p>
    <w:p>
      <w:r>
        <w:rPr>
          <w:color w:val="1F4D78"/>
        </w:rPr>
        <w:t>图3：每日入场时间分布（6:00-20:00）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74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hour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120"/>
      </w:pPr>
      <w:r>
        <w:rPr>
          <w:color w:val="000000"/>
        </w:rPr>
        <w:t>（三）每日收费时间分布图</w:t>
      </w:r>
    </w:p>
    <w:p>
      <w:r>
        <w:rPr>
          <w:color w:val="1F4D78"/>
        </w:rPr>
        <w:t>图4：每日收费时间分布（6:00-20:00）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74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e_hour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四、补充观察</w:t>
      </w:r>
    </w:p>
    <w:p>
      <w:pPr>
        <w:spacing w:after="120"/>
      </w:pPr>
      <w:r>
        <w:rPr>
          <w:color w:val="000000"/>
        </w:rPr>
        <w:t>1. 收入流失集中于抵扣渠道。应收总额105,795元中实收仅57,397.50元，流失48,285元（45.7%），全部来自会员积分和优惠券抵扣，两类合计占交易总量59.2%，收入转化效率亟待关注。2. 线上支付实收转化率偏低。线上支付占交易量85.0%（3,122笔），但实收率仅44.2%，主因积分和优惠券抵扣集中于该渠道。出口贴码实收率100%但体量较小。3. 免费敞口极小。免费金额仅112.50元（3笔），管控规范。</w:t>
      </w:r>
    </w:p>
    <w:p>
      <w:pPr>
        <w:pStyle w:val="Heading1"/>
      </w:pPr>
      <w:r>
        <w:t>五、结论与建议</w:t>
      </w:r>
    </w:p>
    <w:p>
      <w:pPr>
        <w:spacing w:after="120"/>
      </w:pPr>
      <w:r>
        <w:rPr>
          <w:color w:val="000000"/>
        </w:rPr>
        <w:t>1. 审视抵扣政策：实际抵扣总额48,285元，占应收45.7%，会员积分（1,396笔）与优惠券（777笔）实收均为0，建议设定抵扣预算上限。2. 排查长时停车：超12小时停车78笔，最长165.45小时，建议建立预警机制。3. 优化高峰管理：入场高峰17-18时（513笔），建议增派引导人员。4. 推动线上迁移：出口贴码仅544笔（14.8%），建议通过优惠引导提升覆盖率。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E74B5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1F4D78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/>
  </w:style>
  <w:style w:type="numbering" w:default="1" w:styleId="NoList">
    <w:name w:val="No List"/>
    <w:uiPriority w:val="99"/>
    <w:semiHidden/>
    <w:unhideWhenUsed/>
    <w:rPr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