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0000"/>
          <w:sz w:val="44"/>
          <w:szCs w:val="44"/>
          <w:bCs/>
        </w:rPr>
        <w:t>停车明细分析报告</w:t>
      </w:r>
    </w:p>
    <w:p>
      <w:pPr>
        <w:pStyle w:val="Heading2"/>
      </w:pPr>
      <w:r>
        <w:t>报告信息</w:t>
      </w:r>
    </w:p>
    <w:p>
      <w:pPr>
        <w:pStyle w:val="ListParagraph"/>
        <w:spacing w:after="60"/>
        <w:numPr>
          <w:ilvl w:val="0"/>
          <w:numId w:val="1"/>
        </w:numPr>
      </w:pPr>
      <w:r>
        <w:rPr>
          <w:color w:val="000000"/>
        </w:rPr>
        <w:t>数据周期：2026-04-01 – 2026-04-30</w:t>
      </w:r>
    </w:p>
    <w:p>
      <w:pPr>
        <w:pStyle w:val="ListParagraph"/>
        <w:spacing w:after="60"/>
        <w:numPr>
          <w:ilvl w:val="0"/>
          <w:numId w:val="1"/>
        </w:numPr>
      </w:pPr>
      <w:r>
        <w:rPr>
          <w:color w:val="000000"/>
        </w:rPr>
        <w:t>生成时间：2026-06-24 13:24:38</w:t>
      </w:r>
    </w:p>
    <w:p>
      <w:pPr>
        <w:pStyle w:val="Heading1"/>
      </w:pPr>
      <w:r>
        <w:t>一、关键指标（硬性数字）</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W w:w="9360" w:type="dxa"/>
      </w:tblPr>
      <w:tblGrid>
        <w:gridCol w:w="3120"/>
        <w:gridCol w:w="3120"/>
        <w:gridCol w:w="3120"/>
      </w:tblGrid>
      <w:tr>
        <w:tc>
          <w:tcPr>
            <w:tcW w:type="dxa" w:w="3600"/>
            <w:shd w:fill="1F4E79"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b/>
                <w:color w:val="FFFFFF"/>
                <w:bCs/>
              </w:rPr>
              <w:t>指标</w:t>
            </w:r>
          </w:p>
        </w:tc>
        <w:tc>
          <w:tcPr>
            <w:tcW w:type="dxa" w:w="2400"/>
            <w:shd w:fill="1F4E79"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b/>
                <w:color w:val="FFFFFF"/>
                <w:bCs/>
              </w:rPr>
              <w:t>填写值</w:t>
            </w:r>
          </w:p>
        </w:tc>
        <w:tc>
          <w:tcPr>
            <w:tcW w:type="dxa" w:w="3360"/>
            <w:shd w:fill="1F4E79"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b/>
                <w:color w:val="FFFFFF"/>
                <w:bCs/>
              </w:rPr>
              <w:t>示例预期值</w:t>
            </w:r>
          </w:p>
        </w:tc>
      </w:tr>
      <w:tr>
        <w:tc>
          <w:tcPr>
            <w:tcW w:type="dxa" w:w="360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b/>
                <w:color w:val="000000"/>
                <w:bCs/>
              </w:rPr>
              <w:t>1. 总交易笔数</w:t>
            </w:r>
          </w:p>
        </w:tc>
        <w:tc>
          <w:tcPr>
            <w:tcW w:type="dxa" w:w="240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color w:val="000000"/>
              </w:rPr>
              <w:t>3674 笔</w:t>
            </w:r>
          </w:p>
        </w:tc>
        <w:tc>
          <w:tcPr>
            <w:tcW w:type="dxa" w:w="336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color w:val="595959"/>
              </w:rPr>
              <w:t>= 14</w:t>
            </w:r>
          </w:p>
        </w:tc>
      </w:tr>
      <w:tr>
        <w:tc>
          <w:tcPr>
            <w:tcW w:type="dxa" w:w="360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b/>
                <w:color w:val="000000"/>
                <w:bCs/>
              </w:rPr>
              <w:t>2. 应收总金额（元）</w:t>
            </w:r>
          </w:p>
        </w:tc>
        <w:tc>
          <w:tcPr>
            <w:tcW w:type="dxa" w:w="240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color w:val="000000"/>
              </w:rPr>
              <w:t>¥105,795.00</w:t>
            </w:r>
          </w:p>
        </w:tc>
        <w:tc>
          <w:tcPr>
            <w:tcW w:type="dxa" w:w="336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color w:val="595959"/>
              </w:rPr>
              <w:t>= ¥540</w:t>
            </w:r>
          </w:p>
        </w:tc>
      </w:tr>
      <w:tr>
        <w:tc>
          <w:tcPr>
            <w:tcW w:type="dxa" w:w="360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b/>
                <w:color w:val="000000"/>
                <w:bCs/>
              </w:rPr>
              <w:t>3. 实收总金额（元）</w:t>
            </w:r>
          </w:p>
        </w:tc>
        <w:tc>
          <w:tcPr>
            <w:tcW w:type="dxa" w:w="240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color w:val="000000"/>
              </w:rPr>
              <w:t>¥57,397.50</w:t>
            </w:r>
          </w:p>
        </w:tc>
        <w:tc>
          <w:tcPr>
            <w:tcW w:type="dxa" w:w="336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color w:val="595959"/>
              </w:rPr>
              <w:t>= ¥390</w:t>
            </w:r>
          </w:p>
        </w:tc>
      </w:tr>
      <w:tr>
        <w:tc>
          <w:tcPr>
            <w:tcW w:type="dxa" w:w="360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b/>
                <w:color w:val="000000"/>
                <w:bCs/>
              </w:rPr>
              <w:t>4. 实际抵扣总额（元）</w:t>
            </w:r>
          </w:p>
        </w:tc>
        <w:tc>
          <w:tcPr>
            <w:tcW w:type="dxa" w:w="240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color w:val="000000"/>
              </w:rPr>
              <w:t>¥48,285.00</w:t>
            </w:r>
          </w:p>
        </w:tc>
        <w:tc>
          <w:tcPr>
            <w:tcW w:type="dxa" w:w="336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color w:val="595959"/>
              </w:rPr>
              <w:t>= ¥150</w:t>
            </w:r>
          </w:p>
        </w:tc>
      </w:tr>
      <w:tr>
        <w:tc>
          <w:tcPr>
            <w:tcW w:type="dxa" w:w="360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b/>
                <w:color w:val="000000"/>
                <w:bCs/>
              </w:rPr>
              <w:t>5. 实收率（%）</w:t>
            </w:r>
          </w:p>
        </w:tc>
        <w:tc>
          <w:tcPr>
            <w:tcW w:type="dxa" w:w="240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color w:val="000000"/>
              </w:rPr>
              <w:t>54.3%</w:t>
            </w:r>
          </w:p>
        </w:tc>
        <w:tc>
          <w:tcPr>
            <w:tcW w:type="dxa" w:w="336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color w:val="595959"/>
              </w:rPr>
              <w:t>= 72.2%</w:t>
            </w:r>
          </w:p>
        </w:tc>
      </w:tr>
      <w:tr>
        <w:tc>
          <w:tcPr>
            <w:tcW w:type="dxa" w:w="360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b/>
                <w:color w:val="000000"/>
                <w:bCs/>
              </w:rPr>
              <w:t>6. 主要支付方式</w:t>
            </w:r>
          </w:p>
        </w:tc>
        <w:tc>
          <w:tcPr>
            <w:tcW w:type="dxa" w:w="240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color w:val="000000"/>
              </w:rPr>
              <w:t>微信 ×1435</w:t>
            </w:r>
          </w:p>
        </w:tc>
        <w:tc>
          <w:tcPr>
            <w:tcW w:type="dxa" w:w="3360"/>
            <w:shd w:fill="FFFFFF" w:val="clear"/>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r>
              <w:rPr>
                <w:color w:val="595959"/>
              </w:rPr>
              <w:t xml:space="preserve">= </w:t>
            </w:r>
            <w:r>
              <w:rPr>
                <w:color w:val="595959"/>
              </w:rPr>
              <w:t>微信</w:t>
            </w:r>
            <w:r>
              <w:rPr>
                <w:color w:val="595959"/>
              </w:rPr>
              <w:t xml:space="preserve"> ×6</w:t>
            </w:r>
          </w:p>
        </w:tc>
      </w:tr>
    </w:tbl>
    <w:p>
      <w:pPr>
        <w:pStyle w:val="Heading1"/>
      </w:pPr>
      <w:r>
        <w:t>二、支付方式与渠道</w:t>
      </w:r>
    </w:p>
    <w:p>
      <w:pPr>
        <w:spacing w:after="120"/>
      </w:pPr>
      <w:r>
        <w:rPr>
          <w:color w:val="000000"/>
        </w:rPr>
        <w:t>本周期共 3,674 笔交易。支付方式方面，微信占比最高（1,435 笔，39.1%），其次为会员积分（1,396 笔，38.0%）和优惠券（777 笔，21.2%），支付宝仅 63 笔（1.7%），现金 3 笔（0.1%）。支付渠道方面，线上支付为绝对主力（3,122 笔，85.0%），出口贴码次之（544 笔，14.8%）。交叉分析显示：会员积分与优惠券全部通过线上支付使用，微信同时覆盖线上支付（947 笔）和出口贴码（488 笔）。从实际收入贡献看，微信贡献实收的 96.1%（55,155 元），支付宝贡献 3.9%（2,242.5 元）。</w:t>
      </w:r>
    </w:p>
    <w:p>
      <w:pPr>
        <w:pStyle w:val="Heading2"/>
      </w:pPr>
      <w:r>
        <w:t>（一）支付方式分布图</w:t>
      </w:r>
    </w:p>
    <w:p>
      <w:r>
        <w:rPr>
          <w:color w:val="1F4D78"/>
        </w:rPr>
        <w:t>图1：支付方式分布</w:t>
      </w:r>
    </w:p>
    <w:p>
      <w:pPr>
        <w:spacing w:before="80" w:after="80"/>
        <w:jc w:val="center"/>
      </w:pPr>
      <w:r>
        <w:drawing>
          <wp:inline xmlns:a="http://schemas.openxmlformats.org/drawingml/2006/main" xmlns:pic="http://schemas.openxmlformats.org/drawingml/2006/picture">
            <wp:extent cx="5029200" cy="5623462"/>
            <wp:docPr id="1" name="Picture 1"/>
            <wp:cNvGraphicFramePr>
              <a:graphicFrameLocks noChangeAspect="1"/>
            </wp:cNvGraphicFramePr>
            <a:graphic>
              <a:graphicData uri="http://schemas.openxmlformats.org/drawingml/2006/picture">
                <pic:pic>
                  <pic:nvPicPr>
                    <pic:cNvPr id="0" name="payment_method_pie.png"/>
                    <pic:cNvPicPr/>
                  </pic:nvPicPr>
                  <pic:blipFill>
                    <a:blip r:embed="rId9"/>
                    <a:stretch>
                      <a:fillRect/>
                    </a:stretch>
                  </pic:blipFill>
                  <pic:spPr>
                    <a:xfrm>
                      <a:off x="0" y="0"/>
                      <a:ext cx="5029200" cy="5623462"/>
                    </a:xfrm>
                    <a:prstGeom prst="rect"/>
                  </pic:spPr>
                </pic:pic>
              </a:graphicData>
            </a:graphic>
          </wp:inline>
        </w:drawing>
      </w:r>
    </w:p>
    <w:p>
      <w:pPr>
        <w:spacing w:after="160"/>
        <w:jc w:val="center"/>
      </w:pPr>
      <w:r>
        <w:rPr>
          <w:color w:val="595959"/>
          <w:sz w:val="18"/>
          <w:szCs w:val="18"/>
        </w:rPr>
        <w:t>微信以 1,435 笔（39.1%）居首，会员积分紧随其后（1,396 笔，38.0%），优惠券位列第三（777 笔，21.2%）。</w:t>
      </w:r>
    </w:p>
    <w:p>
      <w:pPr>
        <w:pStyle w:val="Heading1"/>
      </w:pPr>
      <w:r>
        <w:t>三、停车时长分析</w:t>
      </w:r>
    </w:p>
    <w:p>
      <w:pPr>
        <w:spacing w:after="120"/>
      </w:pPr>
      <w:r>
        <w:rPr>
          <w:color w:val="000000"/>
        </w:rPr>
        <w:t>有效停车记录 3,674 条，平均停车时长 3.27 小时，中位时长 2.47 小时，大部分停车集中在 2–3 小时。时长分布：0–1 小时 1,491 笔（40.6%），2–3 小时 1,271 笔（34.6%），4–5 小时 573 笔（15.6%），6 小时以上合计 339 笔（9.2%）。78 笔停车超过 12 小时（占 2.1%），最长一笔达 165.45 小时（近 7 天），应收 322.5 元。超长停车多为夜间入场、次日离场的过夜车辆，部分跨越多日，建议排查是否存在计费异常或逃费风险。</w:t>
      </w:r>
    </w:p>
    <w:p>
      <w:pPr>
        <w:pStyle w:val="Heading4"/>
      </w:pPr>
      <w:r>
        <w:rPr>
          <w:color w:val="1F4D78"/>
        </w:rPr>
        <w:t>图2：停车时长分布（每2小时）</w:t>
      </w:r>
    </w:p>
    <w:p>
      <w:pPr>
        <w:spacing w:before="80" w:after="80"/>
        <w:jc w:val="center"/>
      </w:pPr>
      <w:r>
        <w:drawing>
          <wp:inline xmlns:a="http://schemas.openxmlformats.org/drawingml/2006/main" xmlns:pic="http://schemas.openxmlformats.org/drawingml/2006/picture">
            <wp:extent cx="5029200" cy="2689916"/>
            <wp:docPr id="2" name="Picture 2"/>
            <wp:cNvGraphicFramePr>
              <a:graphicFrameLocks noChangeAspect="1"/>
            </wp:cNvGraphicFramePr>
            <a:graphic>
              <a:graphicData uri="http://schemas.openxmlformats.org/drawingml/2006/picture">
                <pic:pic>
                  <pic:nvPicPr>
                    <pic:cNvPr id="0" name="duration_bar.png"/>
                    <pic:cNvPicPr/>
                  </pic:nvPicPr>
                  <pic:blipFill>
                    <a:blip r:embed="rId10"/>
                    <a:stretch>
                      <a:fillRect/>
                    </a:stretch>
                  </pic:blipFill>
                  <pic:spPr>
                    <a:xfrm>
                      <a:off x="0" y="0"/>
                      <a:ext cx="5029200" cy="2689916"/>
                    </a:xfrm>
                    <a:prstGeom prst="rect"/>
                  </pic:spPr>
                </pic:pic>
              </a:graphicData>
            </a:graphic>
          </wp:inline>
        </w:drawing>
      </w:r>
    </w:p>
    <w:p>
      <w:pPr>
        <w:spacing w:after="160"/>
        <w:jc w:val="center"/>
      </w:pPr>
      <w:r>
        <w:rPr>
          <w:color w:val="595959"/>
          <w:sz w:val="18"/>
          <w:szCs w:val="18"/>
        </w:rPr>
        <w:t>0–1小时占比最高（40.6%），2–3小时次之（34.6%），停车时长集中在短时区间。</w:t>
      </w:r>
    </w:p>
    <w:p>
      <w:pPr>
        <w:pStyle w:val="Heading4"/>
      </w:pPr>
      <w:r>
        <w:rPr>
          <w:color w:val="1F4D78"/>
        </w:rPr>
        <w:t>图3：每日入场时间分布（6:00–20:00）</w:t>
      </w:r>
    </w:p>
    <w:p>
      <w:pPr>
        <w:spacing w:before="80" w:after="80"/>
        <w:jc w:val="center"/>
      </w:pPr>
      <w:r>
        <w:drawing>
          <wp:inline xmlns:a="http://schemas.openxmlformats.org/drawingml/2006/main" xmlns:pic="http://schemas.openxmlformats.org/drawingml/2006/picture">
            <wp:extent cx="5029200" cy="2689916"/>
            <wp:docPr id="3" name="Picture 3"/>
            <wp:cNvGraphicFramePr>
              <a:graphicFrameLocks noChangeAspect="1"/>
            </wp:cNvGraphicFramePr>
            <a:graphic>
              <a:graphicData uri="http://schemas.openxmlformats.org/drawingml/2006/picture">
                <pic:pic>
                  <pic:nvPicPr>
                    <pic:cNvPr id="0" name="entry_hour_bar.png"/>
                    <pic:cNvPicPr/>
                  </pic:nvPicPr>
                  <pic:blipFill>
                    <a:blip r:embed="rId11"/>
                    <a:stretch>
                      <a:fillRect/>
                    </a:stretch>
                  </pic:blipFill>
                  <pic:spPr>
                    <a:xfrm>
                      <a:off x="0" y="0"/>
                      <a:ext cx="5029200" cy="2689916"/>
                    </a:xfrm>
                    <a:prstGeom prst="rect"/>
                  </pic:spPr>
                </pic:pic>
              </a:graphicData>
            </a:graphic>
          </wp:inline>
        </w:drawing>
      </w:r>
    </w:p>
    <w:p>
      <w:pPr>
        <w:spacing w:after="160"/>
        <w:jc w:val="center"/>
      </w:pPr>
      <w:r>
        <w:rPr>
          <w:color w:val="595959"/>
          <w:sz w:val="18"/>
          <w:szCs w:val="18"/>
        </w:rPr>
        <w:t>入场高峰出现在 17:00–18:00（513 笔），13:00–16:00 为次高峰时段，与下班及午后出行规律一致。</w:t>
      </w:r>
    </w:p>
    <w:p>
      <w:pPr>
        <w:pStyle w:val="Heading4"/>
      </w:pPr>
      <w:r>
        <w:rPr>
          <w:color w:val="1F4D78"/>
        </w:rPr>
        <w:t>图4：每日收费时间分布（6:00–20:00）</w:t>
      </w:r>
    </w:p>
    <w:p>
      <w:pPr>
        <w:spacing w:before="80" w:after="80"/>
        <w:jc w:val="center"/>
      </w:pPr>
      <w:r>
        <w:drawing>
          <wp:inline xmlns:a="http://schemas.openxmlformats.org/drawingml/2006/main" xmlns:pic="http://schemas.openxmlformats.org/drawingml/2006/picture">
            <wp:extent cx="5029200" cy="2689916"/>
            <wp:docPr id="4" name="Picture 4"/>
            <wp:cNvGraphicFramePr>
              <a:graphicFrameLocks noChangeAspect="1"/>
            </wp:cNvGraphicFramePr>
            <a:graphic>
              <a:graphicData uri="http://schemas.openxmlformats.org/drawingml/2006/picture">
                <pic:pic>
                  <pic:nvPicPr>
                    <pic:cNvPr id="0" name="charge_hour_bar.png"/>
                    <pic:cNvPicPr/>
                  </pic:nvPicPr>
                  <pic:blipFill>
                    <a:blip r:embed="rId12"/>
                    <a:stretch>
                      <a:fillRect/>
                    </a:stretch>
                  </pic:blipFill>
                  <pic:spPr>
                    <a:xfrm>
                      <a:off x="0" y="0"/>
                      <a:ext cx="5029200" cy="2689916"/>
                    </a:xfrm>
                    <a:prstGeom prst="rect"/>
                  </pic:spPr>
                </pic:pic>
              </a:graphicData>
            </a:graphic>
          </wp:inline>
        </w:drawing>
      </w:r>
    </w:p>
    <w:p>
      <w:pPr>
        <w:spacing w:after="160"/>
        <w:jc w:val="center"/>
      </w:pPr>
      <w:r>
        <w:rPr>
          <w:color w:val="595959"/>
          <w:sz w:val="18"/>
          <w:szCs w:val="18"/>
        </w:rPr>
        <w:t>收费高峰集中在 15:00–18:00，16:00 达峰值（334 笔），与入场高峰后约 2–3 小时的平均停车时长吻合。</w:t>
      </w:r>
    </w:p>
    <w:p>
      <w:pPr>
        <w:pStyle w:val="Heading1"/>
      </w:pPr>
      <w:r>
        <w:t>四、补充观察</w:t>
      </w:r>
    </w:p>
    <w:p>
      <w:pPr>
        <w:spacing w:after="120"/>
      </w:pPr>
      <w:r>
        <w:rPr>
          <w:color w:val="000000"/>
        </w:rPr>
        <w:t>收入流失显著：应收总金额 105,795 元，实收仅 57,397.5 元，差额 48,397.5 元（45.7%）通过会员积分和优惠券等方式抵扣，其中会员积分抵扣约 19,597.5 元、优惠券抵扣约 28,687.5 元。支付结构以非现金为主：微信（39.1%）和会员积分（38.0%）合计占交易笔数的 77.1%，现金仅 3 笔。实际产生现金收入的仅微信（55,155 元）和支付宝（2,242.5 元）。时段集中特征明显：入场和收费高峰均集中在下午至傍晚，17:00–18:00 入场达 513 笔，收费高峰 16:00 达 334 笔，与下班及晚间出行规律吻合，可用于指导排班。</w:t>
      </w:r>
    </w:p>
    <w:p>
      <w:pPr>
        <w:pStyle w:val="Heading1"/>
      </w:pPr>
      <w:r>
        <w:t>五、结论与建议</w:t>
      </w:r>
    </w:p>
    <w:p>
      <w:pPr>
        <w:spacing w:after="120"/>
      </w:pPr>
      <w:r>
        <w:rPr>
          <w:color w:val="000000"/>
        </w:rPr>
        <w:t>1. 审视会员积分与优惠券抵扣政策：当前抵扣总额 48,285 元，占应收总金额的 45.7%，是实收率偏低（54.3%）的主因。建议设置单次抵扣上限或调整积分兑换比例，在维持用户粘性的同时保障收入。2. 引导出口贴码渠道：出口贴码渠道实收率 100%，当前仅占总交易笔数的 14.8%，可考虑通过现场指引或优惠激励将部分线上抵扣用户引导至贴码支付，直接提升现金流入。3. 建立长时停车预警机制：本周期出现 78 笔超 12 小时停车（含一笔近 7 天），建议在系统中设置超 12 小时自动告警，由管理人员核实是否为异常占用或计费漏洞。4. 优化高峰时段排班：17:00–18:00 入场量达 513 笔，16:00 收费达 334 笔，建议在 16:00–19:00 时段增配出口值守人员，缩短车主离场等待时间。</w:t>
      </w:r>
    </w:p>
    <w:sectPr w:rsidR="00FC693F" w:rsidRPr="0006063C" w:rsidSect="00034616">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 xml:space="preserve">第 </w:t>
    </w:r>
    <w:r>
      <w:fldChar w:fldCharType="begin"/>
    </w:r>
    <w:r>
      <w:instrText>PAGE</w:instrText>
    </w:r>
    <w:r>
      <w:rPr>
        <w:rFonts w:hint="eastAsia"/>
      </w:rPr>
      <w:fldChar w:fldCharType="separate"/>
    </w:r>
    <w:r>
      <w:rPr>
        <w:rFonts w:hint="eastAsia"/>
      </w:rPr>
      <w:t>1</w:t>
    </w:r>
    <w:r>
      <w:fldChar w:fldCharType="end"/>
    </w:r>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cs="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2E74B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E74B5"/>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1F4D78"/>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rPr/>
  </w:style>
  <w:style w:type="numbering" w:default="1" w:styleId="NoList">
    <w:name w:val="No List"/>
    <w:uiPriority w:val="99"/>
    <w:semiHidden/>
    <w:unhideWhenUsed/>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