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0000"/>
          <w:sz w:val="44"/>
          <w:szCs w:val="44"/>
          <w:bCs/>
        </w:rPr>
        <w:t>停车明细分析报告</w:t>
      </w:r>
    </w:p>
    <w:p>
      <w:pPr>
        <w:pStyle w:val="Heading2"/>
      </w:pPr>
      <w:r>
        <w:t>报告信息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color w:val="000000"/>
        </w:rPr>
        <w:t>数据周期：2026-04-01 – 2026-04-30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color w:val="000000"/>
        </w:rPr>
        <w:t>生成时间：2026-06-24 13:17:17</w:t>
      </w:r>
    </w:p>
    <w:p>
      <w:pPr>
        <w:pStyle w:val="Heading1"/>
      </w:pPr>
      <w:r>
        <w:t>一、关键指标（硬性数字）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W w:w="9360" w:type="dxa"/>
      </w:tblPr>
      <w:tblGrid>
        <w:gridCol w:w="3120"/>
        <w:gridCol w:w="3120"/>
        <w:gridCol w:w="3120"/>
      </w:tblGrid>
      <w:tr>
        <w:tc>
          <w:tcPr>
            <w:tcW w:type="dxa" w:w="360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指标</w:t>
            </w:r>
          </w:p>
        </w:tc>
        <w:tc>
          <w:tcPr>
            <w:tcW w:type="dxa" w:w="240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填写值</w:t>
            </w:r>
          </w:p>
        </w:tc>
        <w:tc>
          <w:tcPr>
            <w:tcW w:type="dxa" w:w="336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示例预期值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1. 总交易笔数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3674 笔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14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2. 应收总金额（元）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¥105,795.00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¥540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3. 实收总金额（元）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¥57,397.50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¥390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4. 实际抵扣总额（元）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¥48,285.00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¥150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5. 实收率（%）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54.3%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72.2%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6. 主要支付方式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微信 ×1435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 xml:space="preserve">= </w:t>
            </w:r>
            <w:r>
              <w:rPr>
                <w:color w:val="595959"/>
              </w:rPr>
              <w:t>微信</w:t>
            </w:r>
            <w:r>
              <w:rPr>
                <w:color w:val="595959"/>
              </w:rPr>
              <w:t xml:space="preserve"> ×6</w:t>
            </w:r>
          </w:p>
        </w:tc>
      </w:tr>
    </w:tbl>
    <w:p>
      <w:pPr>
        <w:pStyle w:val="Heading1"/>
      </w:pPr>
      <w:r>
        <w:t>二、支付方式与渠道</w:t>
      </w:r>
    </w:p>
    <w:p>
      <w:pPr>
        <w:spacing w:after="120"/>
      </w:pPr>
      <w:r>
        <w:rPr>
          <w:color w:val="000000"/>
        </w:rPr>
        <w:t>本周期共发生 3,674 笔交易。支付方式方面，微信支付以 1,435 笔（39.1%）居首，应收与实收均为 55,155 元；会员积分 1,396 笔（38.0%），应收 19,597.5 元但实收为 0，全部以积分抵扣；优惠券 777 笔（21.2%），应收 28,687.5 元同样实收为 0；支付宝 63 笔（1.7%），实收 2,242.5 元；现金仅 3 笔。支付渠道方面，线上支付以 3,122 笔（85.0%）占据绝对主导，但其中仅微信和支付宝产生实收（合计约 38,212.5 元），会员积分与优惠券均通过线上支付完成抵扣；出口贴码 544 笔（14.8%），全部为微信/支付宝实收交易，实收率 100%。整体来看，微信是最主要的实收支付方式，线上支付是主要渠道但收入转化率偏低。</w:t>
      </w:r>
    </w:p>
    <w:p>
      <w:pPr>
        <w:pStyle w:val="Heading2"/>
      </w:pPr>
      <w:r>
        <w:t>（一）支付方式分布图</w:t>
      </w:r>
    </w:p>
    <w:p>
      <w:r>
        <w:rPr>
          <w:color w:val="1F4D78"/>
        </w:rPr>
        <w:t>图1：支付方式分布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623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2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三、停车时长分析</w:t>
      </w:r>
    </w:p>
    <w:p>
      <w:pPr>
        <w:spacing w:after="120"/>
      </w:pPr>
      <w:r>
        <w:rPr>
          <w:color w:val="000000"/>
        </w:rPr>
        <w:t>本周期共 3,674 条有效停车记录。以「收费时间 − 进车时间」计算停车时长，平均停车时长为 3.3 小时，中位数为 2.5 小时，分布呈明显右偏：40.6% 的停车在 1 小时以内，34.6% 在 1–3 小时之间，15.6% 在 3–5 小时。超过 12 小时的长时停车共 78 笔（占 2.1%），最长记录达 165.5 小时（应收 322.5 元），另有 68.6 小时、28.6 小时等多笔异常长时记录，建议逐一排查是否存在计费系统故障或逃费行为。入场高峰集中在 17:00–18:00（513 笔），收费处理高峰集中在 15:00–17:00，与入场高峰形成约 1–2 小时的滞后。</w:t>
      </w:r>
    </w:p>
    <w:p>
      <w:pPr>
        <w:pStyle w:val="Heading4"/>
      </w:pPr>
      <w:r>
        <w:rPr>
          <w:color w:val="1F4D78"/>
        </w:rPr>
        <w:t>图2：停车时长分布（每2小时）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9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tion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1F4D78"/>
        </w:rPr>
        <w:t>图3：每日入场时间分布（6:00–20:00）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99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hour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1F4D78"/>
        </w:rPr>
        <w:t>图4：每日收费时间分布（6:00–20:00）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9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_hour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四、补充观察</w:t>
      </w:r>
    </w:p>
    <w:p>
      <w:pPr>
        <w:spacing w:after="120"/>
      </w:pPr>
      <w:r>
        <w:rPr>
          <w:color w:val="000000"/>
        </w:rPr>
        <w:t>1. 实收率仅 54.3%，收入流失显著。会员积分（1,396 笔）和优惠券（777 笔）合计抵扣 48,285 元，占总应收金额的 45.7%。线上支付渠道笔数占比 85.0%，但其中近七成为零实收的抵扣交易，实际现金回流严重依赖占比仅 14.8% 的出口贴码渠道。</w:t>
      </w:r>
    </w:p>
    <w:p>
      <w:pPr>
        <w:spacing w:after="120"/>
      </w:pPr>
      <w:r>
        <w:rPr>
          <w:color w:val="000000"/>
        </w:rPr>
        <w:t>2. 停车时长分布呈明显右偏：40.6% 的停车在 1 小时以内，中位时长 2.5 小时，但存在 78 笔超过 12 小时的长时停车（占 2.1%），最长一笔达 165.5 小时（近 7 天），可能指向计费异常或逃费风险，建议逐一核查。</w:t>
        <w:br/>
        <w:t>3. 每日入场高峰集中在 17:00–18:00（914 笔），收费处理高峰在 15:00–17:00（633 笔），两峰高度集中，高峰时段出口可能存在排队压力，需关注现场疏导和通道资源配置。</w:t>
      </w:r>
    </w:p>
    <w:p>
      <w:pPr>
        <w:pStyle w:val="Heading1"/>
      </w:pPr>
      <w:r>
        <w:t>五、结论与建议</w:t>
      </w:r>
    </w:p>
    <w:p>
      <w:pPr>
        <w:spacing w:after="120"/>
      </w:pPr>
      <w:r>
        <w:rPr>
          <w:color w:val="000000"/>
        </w:rPr>
        <w:t>1. 关注实收率偏低问题：本期实收率仅 54.3%，近一半应收金额通过会员积分和优惠券被抵扣，建议评估积分与优惠券的发放策略，适当收紧优惠敞口，提升现金回流比例。</w:t>
        <w:br/>
        <w:t>2. 优化线上支付转化：线上支付占比高达 85.0%，但其中会员积分和优惠券合计占线上渠道笔数的 69.6%，实际现金收入仅来自微信/支付宝。建议在线上渠道增加「直接付费」引导，减少对纯抵扣方式的依赖。</w:t>
        <w:br/>
        <w:t>3. 关注长时停车异常：存在 78 笔超过 12 小时的长时停车记录，最长一笔达 165.5 小时（近 7 天），建议排查是否为系统计费漏洞、设备故障或逃费行为。</w:t>
        <w:br/>
        <w:t>4. 时段资源调配：每日入场高峰集中在 17:00–18:00（合计 914 笔），收费高峰集中在 15:00–17:00，建议在该时段增配引导人员或优化出口通道，减少拥堵。</w:t>
      </w:r>
    </w:p>
    <w:sectPr w:rsidR="00FC693F" w:rsidRPr="0006063C" w:rsidSect="0003461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E74B5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1F4D78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/>
  </w:style>
  <w:style w:type="numbering" w:default="1" w:styleId="NoList">
    <w:name w:val="No List"/>
    <w:uiPriority w:val="99"/>
    <w:semiHidden/>
    <w:unhideWhenUsed/>
    <w:rPr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