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44"/>
          <w:szCs w:val="44"/>
          <w:bCs/>
        </w:rPr>
        <w:t>停车明细分析报告</w:t>
      </w:r>
    </w:p>
    <w:p>
      <w:pPr>
        <w:pStyle w:val="Heading2"/>
      </w:pPr>
      <w:r>
        <w:t>报告信息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数据周期：2026-04-01 – 2026-04-30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生成时间：2026-06-24 13:28:23</w:t>
      </w:r>
    </w:p>
    <w:p>
      <w:pPr>
        <w:pStyle w:val="Heading1"/>
      </w:pPr>
      <w:r>
        <w:t>一、关键指标（硬性数字）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W w:w="9360" w:type="dxa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指标</w:t>
            </w:r>
          </w:p>
        </w:tc>
        <w:tc>
          <w:tcPr>
            <w:tcW w:type="dxa" w:w="24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填写值</w:t>
            </w:r>
          </w:p>
        </w:tc>
        <w:tc>
          <w:tcPr>
            <w:tcW w:type="dxa" w:w="336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示例预期值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1. 总交易笔数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3674 笔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14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2. 应收总金额（元）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¥105,795.00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¥540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3. 实收总金额（元）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¥57,397.50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¥390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4. 实际抵扣总额（元）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¥48,285.00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¥150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5. 实收率（%）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54.3%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72.2%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6. 主要支付方式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微信 ×1435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 xml:space="preserve">= </w:t>
            </w:r>
            <w:r>
              <w:rPr>
                <w:color w:val="595959"/>
              </w:rPr>
              <w:t>微信</w:t>
            </w:r>
            <w:r>
              <w:rPr>
                <w:color w:val="595959"/>
              </w:rPr>
              <w:t xml:space="preserve"> ×6</w:t>
            </w:r>
          </w:p>
        </w:tc>
      </w:tr>
    </w:tbl>
    <w:p>
      <w:pPr>
        <w:pStyle w:val="Heading1"/>
      </w:pPr>
      <w:r>
        <w:t>二、支付方式与渠道</w:t>
      </w:r>
    </w:p>
    <w:p>
      <w:pPr>
        <w:spacing w:after="120"/>
      </w:pPr>
      <w:r>
        <w:rPr>
          <w:color w:val="000000"/>
        </w:rPr>
        <w:t>数据期间共有5种支付方式。微信支付以1,435笔（39.1%）位居第一，实收金额55,155元；其次为会员积分1,396笔（38.0%），优惠券777笔（21.2%），支付宝63笔（1.7%），现金3笔（0.1%）。其中微信和支付宝为直接现金收入来源，合计实收57,397.5元；会员积分和优惠券实收为零，完全依赖抵扣，合计2,173笔（59.2%），是收入流失的主要渠道。</w:t>
        <w:br/>
        <w:br/>
        <w:t>支付渠道方面，线上支付以3,122笔（85.0%）占据绝对主导，出口贴码544笔（14.8%），出口缴费机和遥控放行登记合计仅8笔。交叉分析显示，会员积分和优惠券均集中在线上支付渠道（合计2,173笔），而微信和支付宝在出口贴码渠道中共有544笔（全部实收）。线上支付渠道虽然流量最大，但实收率仅44.2%（38,212.5/86,497.5），出口贴码渠道实收率达100%。</w:t>
      </w:r>
    </w:p>
    <w:p>
      <w:pPr>
        <w:pStyle w:val="Heading2"/>
      </w:pPr>
      <w:r>
        <w:t>（一）支付方式分布图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2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三、停车时长分析</w:t>
      </w:r>
    </w:p>
    <w:p>
      <w:pPr>
        <w:spacing w:after="120"/>
      </w:pPr>
      <w:r>
        <w:rPr>
          <w:color w:val="000000"/>
        </w:rPr>
        <w:t>数据期间共3,674条有效停车记录。平均停车时长为3.27小时，中位时长为2.47小时，最短0.09小时，最长165.45小时（约6.9天）。从分布来看，0–1小时（1,491笔，40.6%）和2–3小时（1,271笔，34.6%）是主力区间，合计占比75.2%；4–5小时573笔（15.6%），6小时以上合计339笔（9.2%）。值得关注的是，超过12小时的长时停车有78笔，其中最长记录已达近7天，可能存在设备异常或管理漏洞，建议逐项核查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hour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四、补充观察</w:t>
      </w:r>
    </w:p>
    <w:p>
      <w:pPr>
        <w:spacing w:after="120"/>
      </w:pPr>
      <w:r>
        <w:rPr>
          <w:color w:val="000000"/>
        </w:rPr>
        <w:t>1. 收入流失显著，抵扣敞口偏大。数据期间应收总金额为105,795元，但实际抵扣总额高达48,285元（占比45.7%），主要由会员积分和优惠券驱动。若将抵扣比例控制在30%以内，预计可增加约1.6万元实收。</w:t>
        <w:br/>
        <w:br/>
        <w:t>2. 平均停车时长为3.27小时，中位时长2.47小时，表明大部分停车为短时停留。时长分布呈明显的右偏特征：0–1小时和2–3小时合计占比75.2%（2,762笔），超过12小时的仅78笔（2.1%），符合商业停车场的一般规律。</w:t>
        <w:br/>
        <w:br/>
        <w:t>3. 收费时间与入场时间分布高度吻合，均在17:00–19:00达到峰值，入场高峰时段（17:00–19:00）合计914笔，占6:00–20:00时段的24.9%，说明用户行为具有明显的晚高峰集中特征，可据此优化排班和定价策略。</w:t>
      </w:r>
    </w:p>
    <w:p>
      <w:pPr>
        <w:pStyle w:val="Heading1"/>
      </w:pPr>
      <w:r>
        <w:t>五、结论与建议</w:t>
      </w:r>
    </w:p>
    <w:p>
      <w:pPr>
        <w:spacing w:after="120"/>
      </w:pPr>
      <w:r>
        <w:rPr>
          <w:color w:val="000000"/>
        </w:rPr>
        <w:t>1. 优化优惠策略，提升实收率。当前实收率仅54.3%，会员积分（1,396笔）和优惠券（777笔）合计占交易笔数的59.2%，但实收贡献为零。建议评估积分抵扣上限和优惠券发放门槛，在维持用户粘性的同时保障收入。</w:t>
        <w:br/>
        <w:br/>
        <w:t>2. 排查超长停车异常。数据中存在78笔超过12小时的长时停车，最长记录达165.5小时（近7天），涉及应收金额较高。建议逐笔核查是否存在设备故障、人为逃费或特殊车辆登记遗漏等问题。</w:t>
        <w:br/>
        <w:br/>
        <w:t>3. 强化高峰时段现场管理。每日入场高峰集中在17:00–19:00（合计914笔，占6:00–20:00时段的24.9%），建议在该时段增派引导人员、优化出口扫码体验，减少排队拥堵。</w:t>
        <w:br/>
        <w:br/>
        <w:t>4. 推动出口贴码渠道转化。当前线上支付渠道笔数占比85.0%，但实收仅占该渠道应收的44.2%；出口贴码渠道实收率达100%。建议在线上支付环节增加余额支付引导，减少对纯抵扣方式的依赖。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1F4D78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/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