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00000"/>
          <w:sz w:val="44"/>
          <w:szCs w:val="44"/>
          <w:bCs/>
        </w:rPr>
        <w:t>停车明细分析报告</w:t>
      </w:r>
    </w:p>
    <w:p>
      <w:pPr>
        <w:pStyle w:val="Heading2"/>
      </w:pPr>
      <w:r>
        <w:t>报告信息</w:t>
      </w:r>
    </w:p>
    <w:p>
      <w:pPr>
        <w:pStyle w:val="ListParagraph"/>
        <w:spacing w:after="60"/>
        <w:numPr>
          <w:ilvl w:val="0"/>
          <w:numId w:val="1"/>
        </w:numPr>
      </w:pPr>
      <w:r>
        <w:t>数据周期：2026-04-01 – 2026-04-30</w:t>
      </w:r>
    </w:p>
    <w:p>
      <w:pPr>
        <w:pStyle w:val="ListParagraph"/>
        <w:spacing w:after="60"/>
        <w:numPr>
          <w:ilvl w:val="0"/>
          <w:numId w:val="1"/>
        </w:numPr>
      </w:pPr>
      <w:r>
        <w:t>生成时间：2026-06-24 13:06:46</w:t>
      </w:r>
    </w:p>
    <w:p>
      <w:pPr>
        <w:pStyle w:val="Heading1"/>
      </w:pPr>
      <w:r>
        <w:t>一、关键指标（硬性数字）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W w:w="9360" w:type="dxa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指标</w:t>
            </w:r>
          </w:p>
        </w:tc>
        <w:tc>
          <w:tcPr>
            <w:tcW w:type="dxa" w:w="240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填写值</w:t>
            </w:r>
          </w:p>
        </w:tc>
        <w:tc>
          <w:tcPr>
            <w:tcW w:type="dxa" w:w="3360"/>
            <w:shd w:fill="1F4E79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FFFFF"/>
                <w:bCs/>
              </w:rPr>
              <w:t>示例预期值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1. 总交易笔数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3674 笔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14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2. 应收总金额（元）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¥105,795.00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¥540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3. 实收总金额（元）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¥57,397.50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¥390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4. 实际抵扣总额（元）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¥48,285.00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¥150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5. 实收率（%）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54.3%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>= 72.2%</w:t>
            </w:r>
          </w:p>
        </w:tc>
      </w:tr>
      <w:tr>
        <w:tc>
          <w:tcPr>
            <w:tcW w:type="dxa" w:w="36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00000"/>
                <w:bCs/>
              </w:rPr>
              <w:t>6. 主要支付方式</w:t>
            </w:r>
          </w:p>
        </w:tc>
        <w:tc>
          <w:tcPr>
            <w:tcW w:type="dxa" w:w="240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000000"/>
              </w:rPr>
              <w:t>微信 ×1435</w:t>
            </w:r>
          </w:p>
        </w:tc>
        <w:tc>
          <w:tcPr>
            <w:tcW w:type="dxa" w:w="3360"/>
            <w:shd w:fill="FFFFFF" w:val="clear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595959"/>
              </w:rPr>
              <w:t xml:space="preserve">= </w:t>
            </w:r>
            <w:r>
              <w:rPr>
                <w:color w:val="595959"/>
              </w:rPr>
              <w:t>微信</w:t>
            </w:r>
            <w:r>
              <w:rPr>
                <w:color w:val="595959"/>
              </w:rPr>
              <w:t xml:space="preserve"> ×6</w:t>
            </w:r>
          </w:p>
        </w:tc>
      </w:tr>
    </w:tbl>
    <w:p>
      <w:pPr>
        <w:pStyle w:val="Heading1"/>
      </w:pPr>
      <w:r>
        <w:t>二、支付方式与渠道</w:t>
      </w:r>
    </w:p>
    <w:p>
      <w:pPr>
        <w:spacing w:after="120"/>
      </w:pPr>
      <w:r>
        <w:rPr>
          <w:color w:val="000000"/>
        </w:rPr>
        <w:t>4月共3,674笔交易，涉及5种支付方式。微信支付以1,435笔居首（39.1%），贡献实收55,155元；会员积分1,396笔（38.0%），全部为抵扣，无实收；优惠券777笔（21.2%），亦为全额抵扣。支付宝仅63笔（1.7%），现金3笔（0.1%），两者占比极低。从支付渠道看，线上支付3,122笔（85.0%）占据绝对主导，但实收仅38,212.5元（实收率44.2%），因大量会员积分和优惠券通过该渠道核销。出口贴码544笔（14.8%），实收18,967.5元，实收率达100%，是收入质量最高的渠道。出口缴费机和遥控放行登记合计仅8笔，体量微小。</w:t>
      </w:r>
    </w:p>
    <w:p>
      <w:pPr>
        <w:pStyle w:val="Heading2"/>
      </w:pPr>
      <w:r>
        <w:t>（一）支付方式分布图</w:t>
      </w:r>
    </w:p>
    <w:p>
      <w:r>
        <w:rPr>
          <w:color w:val="1F4D78"/>
        </w:rPr>
        <w:t>图1：支付方式分布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62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2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三、停车时长分析</w:t>
      </w:r>
    </w:p>
    <w:p>
      <w:pPr>
        <w:spacing w:after="120"/>
      </w:pPr>
      <w:r>
        <w:rPr>
          <w:color w:val="000000"/>
        </w:rPr>
        <w:t>4月共3,674条停车记录，平均停车时长3.27小时，中位时长2.47小时，表明大多数停车行为集中在2–3小时以内。从分布来看：0–1小时1,491笔（40.6%）、2–3小时1,271笔（34.6%）、4–5小时573笔（15.6%），合计占总量90.8%，整体以短时停车为主。6–12小时区间合计261笔（7.1%），而超过12小时的长时停车有78笔（2.1%），最长记录达165.45小时（约7天），对应应收322.5元。此类超长停车多为过夜或跨天停放，需关注是否存在管理漏洞。</w:t>
      </w:r>
    </w:p>
    <w:p>
      <w:r>
        <w:rPr>
          <w:color w:val="1F4D78"/>
        </w:rPr>
        <w:t>图2：停车时长分布（每2小时）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1F4D78"/>
        </w:rPr>
        <w:t>图3：每日入场时间分布（6:00-20:00）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hour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1F4D78"/>
        </w:rPr>
        <w:t>图4：每日收费时间分布（6:00-20:00）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899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hour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四、补充观察</w:t>
      </w:r>
    </w:p>
    <w:p>
      <w:pPr>
        <w:spacing w:after="120"/>
      </w:pPr>
      <w:r>
        <w:rPr>
          <w:color w:val="000000"/>
        </w:rPr>
        <w:t>1. 收入流失敞口显著：4月应收总金额105,795元，实际到账仅57,397.5元，流失48,397.5元（45.7%）。会员积分（1,396笔）与优惠券（777笔）合计覆盖2,173笔交易，占总量59.2%，是收入流失的主因。其中会员积分平均每笔抵扣约14元，优惠券平均每笔抵扣约37元，后者对高金额订单的侵蚀更为突出。2. 时段规律明显：入场高峰集中在17:00–18:00（513笔，占14.0%），收费高峰集中在15:00–17:00（627笔，占17.1%），两者错峰提示下午为收费操作密集期，建议此时段增配出口引导人力，避免拥堵。3. 长时停车存在管理盲区：78笔超12小时停车中，最长记录达165小时（近7天），应收322.5元。超长停车多为会员积分或优惠券全额抵扣，实收为零，存在利用抵扣规则规避停车费的套利嫌疑，需设置上限管控。</w:t>
      </w:r>
    </w:p>
    <w:p>
      <w:pPr>
        <w:pStyle w:val="Heading1"/>
      </w:pPr>
      <w:r>
        <w:t>五、结论与建议</w:t>
      </w:r>
    </w:p>
    <w:p>
      <w:pPr>
        <w:spacing w:after="120"/>
      </w:pPr>
      <w:r>
        <w:rPr>
          <w:color w:val="000000"/>
        </w:rPr>
        <w:t>1. 提升实收转化率：当前实收率仅为54.3%，会员积分与优惠券合计抵扣48,285元，占总应收45.7%。建议审核积分获取规则及优惠券发放门槛，将补贴向高价值车位或高峰时段倾斜，避免无差别抵扣侵蚀收入。2. 优化出口贴码覆盖：线上支付虽占85%笔数，但其中仅微信/支付宝产生实收（38,212.5元）。出口贴码每笔均为实收，且笔均金额更高。建议在出口显著位置增设贴码引导标识，提升出口贴码转化率。3. 建立长时停车预警：78笔超12小时停车中，最长近7天，对应应收322.5元但实收可能为零。建议设置24小时超时自动告警，并制定超时停车阶梯费率或强制出场规则。4. 拓展支付宝渠道：支付宝仅63笔（1.7%），远低于微信的1,435笔。建议在出口贴码和缴费机位置增加支付宝标识，降低单一支付渠道依赖。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 xml:space="preserve">第 </w:t>
    </w:r>
    <w:r>
      <w:t>1</w:t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E74B5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1F4D78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/>
  </w:style>
  <w:style w:type="numbering" w:default="1" w:styleId="NoList">
    <w:name w:val="No List"/>
    <w:uiPriority w:val="99"/>
    <w:semiHidden/>
    <w:unhideWhenUsed/>
    <w:rPr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