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jc w:val="center"/>
      </w:pPr>
      <w:r>
        <w:rPr>
          <w:b/>
          <w:bCs/>
          <w:color w:val="1F3864"/>
          <w:sz w:val="44"/>
          <w:szCs w:val="44"/>
        </w:rPr>
        <w:t xml:space="preserve">BUSINESS REQUIREMENTS DOCUMENT</w:t>
      </w:r>
    </w:p>
    <w:p>
      <w:pPr>
        <w:spacing w:after="600" w:before="200"/>
        <w:jc w:val="center"/>
      </w:pPr>
      <w:r>
        <w:rPr>
          <w:color w:val="2E74B5"/>
          <w:sz w:val="30"/>
          <w:szCs w:val="30"/>
        </w:rPr>
        <w:t xml:space="preserve">Customer Health &amp; Account Management Platform</w:t>
      </w:r>
    </w:p>
    <w:p>
      <w:pPr>
        <w:spacing w:after="80"/>
        <w:jc w:val="center"/>
      </w:pPr>
      <w:r>
        <w:rPr>
          <w:sz w:val="21"/>
          <w:szCs w:val="21"/>
        </w:rPr>
        <w:t xml:space="preserve">Prepared for: dPhish — Client Portfolio &amp; Customer Success</w:t>
      </w:r>
    </w:p>
    <w:p>
      <w:pPr>
        <w:spacing w:after="80"/>
        <w:jc w:val="center"/>
      </w:pPr>
      <w:r>
        <w:rPr>
          <w:sz w:val="21"/>
          <w:szCs w:val="21"/>
        </w:rPr>
        <w:t xml:space="preserve">Document Status: Draft v1.0</w:t>
      </w:r>
    </w:p>
    <w:p>
      <w:pPr>
        <w:spacing w:after="80"/>
        <w:jc w:val="center"/>
      </w:pPr>
      <w:r>
        <w:rPr>
          <w:sz w:val="21"/>
          <w:szCs w:val="21"/>
        </w:rPr>
        <w:t xml:space="preserve">Date: September 2026</w:t>
      </w:r>
    </w:p>
    <w:p>
      <w:r>
        <w:br/>
        <w:t xml:space="preserve"/>
      </w:r>
    </w:p>
    <w:p>
      <w:pPr>
        <w:spacing w:before="400"/>
        <w:jc w:val="center"/>
      </w:pPr>
      <w:r>
        <w:rPr>
          <w:i/>
          <w:iCs/>
          <w:color w:val="595959"/>
          <w:sz w:val="20"/>
          <w:szCs w:val="20"/>
        </w:rPr>
        <w:t xml:space="preserve">This document defines the business need, scope, and requirements for an internal platform to manage customer health scoring, account management, and stakeholder tracking across dPhish's client portfolio (~60 accounts).</w:t>
      </w:r>
    </w:p>
    <w:p>
      <w:pPr>
        <w:pageBreakBefore/>
      </w:pPr>
      <w:r>
        <w:br/>
        <w:t xml:space="preserve"/>
      </w:r>
    </w:p>
    <w:p>
      <w:pPr>
        <w:pStyle w:val="Heading1"/>
        <w:spacing w:after="160" w:before="360"/>
      </w:pPr>
      <w:r>
        <w:rPr>
          <w:b/>
          <w:bCs/>
          <w:color w:val="1F3864"/>
          <w:sz w:val="30"/>
          <w:szCs w:val="30"/>
        </w:rPr>
        <w:t xml:space="preserve">1. 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tcPr>
          <w:p>
            <w:r>
              <w:rPr>
                <w:b/>
                <w:bCs/>
                <w:color w:val="FFFFFF"/>
                <w:sz w:val="19"/>
                <w:szCs w:val="19"/>
              </w:rPr>
              <w:t xml:space="preserve">Field</w:t>
            </w:r>
          </w:p>
        </w:tc>
        <w:tc>
          <w:tcPr>
            <w:tcW w:type="dxa" w:w="6300"/>
            <w:shd w:fill="1F3864" w:val="clear"/>
            <w:tcMar>
              <w:top w:type="dxa" w:w="80"/>
              <w:left w:type="dxa" w:w="100"/>
              <w:bottom w:type="dxa" w:w="80"/>
              <w:right w:type="dxa" w:w="100"/>
            </w:tcMar>
          </w:tcPr>
          <w:p>
            <w:r>
              <w:rPr>
                <w:b/>
                <w:bCs/>
                <w:color w:val="FFFFFF"/>
                <w:sz w:val="19"/>
                <w:szCs w:val="19"/>
              </w:rPr>
              <w:t xml:space="preserve">Detail</w:t>
            </w:r>
          </w:p>
        </w:tc>
      </w:tr>
      <w:tr>
        <w:tc>
          <w:tcPr>
            <w:tcW w:type="dxa" w:w="3200"/>
            <w:tcMar>
              <w:top w:type="dxa" w:w="80"/>
              <w:left w:type="dxa" w:w="100"/>
              <w:bottom w:type="dxa" w:w="80"/>
              <w:right w:type="dxa" w:w="100"/>
            </w:tcMar>
          </w:tcPr>
          <w:p>
            <w:r>
              <w:rPr>
                <w:b w:val="false"/>
                <w:bCs w:val="false"/>
                <w:color w:val="000000"/>
                <w:sz w:val="20"/>
                <w:szCs w:val="20"/>
              </w:rPr>
              <w:t xml:space="preserve">Project Name</w:t>
            </w:r>
          </w:p>
        </w:tc>
        <w:tc>
          <w:tcPr>
            <w:tcW w:type="dxa" w:w="6300"/>
            <w:tcMar>
              <w:top w:type="dxa" w:w="80"/>
              <w:left w:type="dxa" w:w="100"/>
              <w:bottom w:type="dxa" w:w="80"/>
              <w:right w:type="dxa" w:w="100"/>
            </w:tcMar>
          </w:tcPr>
          <w:p>
            <w:r>
              <w:rPr>
                <w:b w:val="false"/>
                <w:bCs w:val="false"/>
                <w:color w:val="000000"/>
                <w:sz w:val="20"/>
                <w:szCs w:val="20"/>
              </w:rPr>
              <w:t xml:space="preserve">Customer Health &amp; Account Management Platform</w:t>
            </w:r>
          </w:p>
        </w:tc>
      </w:tr>
      <w:tr>
        <w:tc>
          <w:tcPr>
            <w:tcW w:type="dxa" w:w="3200"/>
            <w:shd w:fill="F2F2F2" w:val="clear"/>
            <w:tcMar>
              <w:top w:type="dxa" w:w="80"/>
              <w:left w:type="dxa" w:w="100"/>
              <w:bottom w:type="dxa" w:w="80"/>
              <w:right w:type="dxa" w:w="100"/>
            </w:tcMar>
          </w:tcPr>
          <w:p>
            <w:r>
              <w:rPr>
                <w:b w:val="false"/>
                <w:bCs w:val="false"/>
                <w:color w:val="000000"/>
                <w:sz w:val="20"/>
                <w:szCs w:val="20"/>
              </w:rPr>
              <w:t xml:space="preserve">Requested By</w:t>
            </w:r>
          </w:p>
        </w:tc>
        <w:tc>
          <w:tcPr>
            <w:tcW w:type="dxa" w:w="6300"/>
            <w:shd w:fill="F2F2F2" w:val="clear"/>
            <w:tcMar>
              <w:top w:type="dxa" w:w="80"/>
              <w:left w:type="dxa" w:w="100"/>
              <w:bottom w:type="dxa" w:w="80"/>
              <w:right w:type="dxa" w:w="100"/>
            </w:tcMar>
          </w:tcPr>
          <w:p>
            <w:r>
              <w:rPr>
                <w:b w:val="false"/>
                <w:bCs w:val="false"/>
                <w:color w:val="000000"/>
                <w:sz w:val="20"/>
                <w:szCs w:val="20"/>
              </w:rPr>
              <w:t xml:space="preserve">Client Portfolio / Customer Success (MSS)</w:t>
            </w:r>
          </w:p>
        </w:tc>
      </w:tr>
      <w:tr>
        <w:tc>
          <w:tcPr>
            <w:tcW w:type="dxa" w:w="3200"/>
            <w:tcMar>
              <w:top w:type="dxa" w:w="80"/>
              <w:left w:type="dxa" w:w="100"/>
              <w:bottom w:type="dxa" w:w="80"/>
              <w:right w:type="dxa" w:w="100"/>
            </w:tcMar>
          </w:tcPr>
          <w:p>
            <w:r>
              <w:rPr>
                <w:b w:val="false"/>
                <w:bCs w:val="false"/>
                <w:color w:val="000000"/>
                <w:sz w:val="20"/>
                <w:szCs w:val="20"/>
              </w:rPr>
              <w:t xml:space="preserve">Business Owner</w:t>
            </w:r>
          </w:p>
        </w:tc>
        <w:tc>
          <w:tcPr>
            <w:tcW w:type="dxa" w:w="6300"/>
            <w:tcMar>
              <w:top w:type="dxa" w:w="80"/>
              <w:left w:type="dxa" w:w="100"/>
              <w:bottom w:type="dxa" w:w="80"/>
              <w:right w:type="dxa" w:w="100"/>
            </w:tcMar>
          </w:tcPr>
          <w:p>
            <w:r>
              <w:rPr>
                <w:b w:val="false"/>
                <w:bCs w:val="false"/>
                <w:color w:val="000000"/>
                <w:sz w:val="20"/>
                <w:szCs w:val="20"/>
              </w:rPr>
              <w:t xml:space="preserve">Client Portfolio Management, dPhish</w:t>
            </w:r>
          </w:p>
        </w:tc>
      </w:tr>
      <w:tr>
        <w:tc>
          <w:tcPr>
            <w:tcW w:type="dxa" w:w="3200"/>
            <w:shd w:fill="F2F2F2" w:val="clear"/>
            <w:tcMar>
              <w:top w:type="dxa" w:w="80"/>
              <w:left w:type="dxa" w:w="100"/>
              <w:bottom w:type="dxa" w:w="80"/>
              <w:right w:type="dxa" w:w="100"/>
            </w:tcMar>
          </w:tcPr>
          <w:p>
            <w:r>
              <w:rPr>
                <w:b w:val="false"/>
                <w:bCs w:val="false"/>
                <w:color w:val="000000"/>
                <w:sz w:val="20"/>
                <w:szCs w:val="20"/>
              </w:rPr>
              <w:t xml:space="preserve">Document Type</w:t>
            </w:r>
          </w:p>
        </w:tc>
        <w:tc>
          <w:tcPr>
            <w:tcW w:type="dxa" w:w="6300"/>
            <w:shd w:fill="F2F2F2" w:val="clear"/>
            <w:tcMar>
              <w:top w:type="dxa" w:w="80"/>
              <w:left w:type="dxa" w:w="100"/>
              <w:bottom w:type="dxa" w:w="80"/>
              <w:right w:type="dxa" w:w="100"/>
            </w:tcMar>
          </w:tcPr>
          <w:p>
            <w:r>
              <w:rPr>
                <w:b w:val="false"/>
                <w:bCs w:val="false"/>
                <w:color w:val="000000"/>
                <w:sz w:val="20"/>
                <w:szCs w:val="20"/>
              </w:rPr>
              <w:t xml:space="preserve">Business Requirements Document (BRD)</w:t>
            </w:r>
          </w:p>
        </w:tc>
      </w:tr>
      <w:tr>
        <w:tc>
          <w:tcPr>
            <w:tcW w:type="dxa" w:w="3200"/>
            <w:tcMar>
              <w:top w:type="dxa" w:w="80"/>
              <w:left w:type="dxa" w:w="100"/>
              <w:bottom w:type="dxa" w:w="80"/>
              <w:right w:type="dxa" w:w="100"/>
            </w:tcMar>
          </w:tcPr>
          <w:p>
            <w:r>
              <w:rPr>
                <w:b w:val="false"/>
                <w:bCs w:val="false"/>
                <w:color w:val="000000"/>
                <w:sz w:val="20"/>
                <w:szCs w:val="20"/>
              </w:rPr>
              <w:t xml:space="preserve">Status</w:t>
            </w:r>
          </w:p>
        </w:tc>
        <w:tc>
          <w:tcPr>
            <w:tcW w:type="dxa" w:w="6300"/>
            <w:tcMar>
              <w:top w:type="dxa" w:w="80"/>
              <w:left w:type="dxa" w:w="100"/>
              <w:bottom w:type="dxa" w:w="80"/>
              <w:right w:type="dxa" w:w="100"/>
            </w:tcMar>
          </w:tcPr>
          <w:p>
            <w:r>
              <w:rPr>
                <w:b w:val="false"/>
                <w:bCs w:val="false"/>
                <w:color w:val="000000"/>
                <w:sz w:val="20"/>
                <w:szCs w:val="20"/>
              </w:rPr>
              <w:t xml:space="preserve">Draft — pending sign-off</w:t>
            </w:r>
          </w:p>
        </w:tc>
      </w:tr>
      <w:tr>
        <w:tc>
          <w:tcPr>
            <w:tcW w:type="dxa" w:w="3200"/>
            <w:shd w:fill="F2F2F2" w:val="clear"/>
            <w:tcMar>
              <w:top w:type="dxa" w:w="80"/>
              <w:left w:type="dxa" w:w="100"/>
              <w:bottom w:type="dxa" w:w="80"/>
              <w:right w:type="dxa" w:w="100"/>
            </w:tcMar>
          </w:tcPr>
          <w:p>
            <w:r>
              <w:rPr>
                <w:b w:val="false"/>
                <w:bCs w:val="false"/>
                <w:color w:val="000000"/>
                <w:sz w:val="20"/>
                <w:szCs w:val="20"/>
              </w:rPr>
              <w:t xml:space="preserve">Scope of this version</w:t>
            </w:r>
          </w:p>
        </w:tc>
        <w:tc>
          <w:tcPr>
            <w:tcW w:type="dxa" w:w="6300"/>
            <w:shd w:fill="F2F2F2" w:val="clear"/>
            <w:tcMar>
              <w:top w:type="dxa" w:w="80"/>
              <w:left w:type="dxa" w:w="100"/>
              <w:bottom w:type="dxa" w:w="80"/>
              <w:right w:type="dxa" w:w="100"/>
            </w:tcMar>
          </w:tcPr>
          <w:p>
            <w:r>
              <w:rPr>
                <w:b w:val="false"/>
                <w:bCs w:val="false"/>
                <w:color w:val="000000"/>
                <w:sz w:val="20"/>
                <w:szCs w:val="20"/>
              </w:rPr>
              <w:t xml:space="preserve">MVP: Web platform with manual/seeded data; Excel import for initial data load only</w:t>
            </w:r>
          </w:p>
        </w:tc>
      </w:tr>
    </w:tbl>
    <w:p>
      <w:pPr>
        <w:pStyle w:val="Heading1"/>
        <w:spacing w:after="160" w:before="360"/>
      </w:pPr>
      <w:r>
        <w:rPr>
          <w:b/>
          <w:bCs/>
          <w:color w:val="1F3864"/>
          <w:sz w:val="30"/>
          <w:szCs w:val="30"/>
        </w:rPr>
        <w:t xml:space="preserve">2. Purpose &amp; Background</w:t>
      </w:r>
    </w:p>
    <w:p>
      <w:pPr>
        <w:spacing w:after="140"/>
      </w:pPr>
      <w:r>
        <w:rPr>
          <w:sz w:val="21"/>
          <w:szCs w:val="21"/>
        </w:rPr>
        <w:t xml:space="preserve">dPhish currently manages customer relationship data, health indicators, and renewal tracking for approximately 60 client accounts using manual spreadsheets. This approach does not scale: it offers no automated health scoring, no centralized stakeholder tracking, no task/reminder automation, and no role-based visibility across the team.</w:t>
      </w:r>
    </w:p>
    <w:p>
      <w:pPr>
        <w:spacing w:after="140"/>
      </w:pPr>
      <w:r>
        <w:rPr>
          <w:sz w:val="21"/>
          <w:szCs w:val="21"/>
        </w:rPr>
        <w:t xml:space="preserve">This document defines the business requirements for an internal web platform that centralizes account data, automates customer health scoring based on real usage and engagement signals, tracks key stakeholders per account, and manages follow-up tasks — while remaining architecturally open to future integrations (Jira, Microsoft Teams, Outlook) and a chatbot interface.</w:t>
      </w:r>
    </w:p>
    <w:p>
      <w:pPr>
        <w:pStyle w:val="Heading1"/>
        <w:spacing w:after="160" w:before="360"/>
      </w:pPr>
      <w:r>
        <w:rPr>
          <w:b/>
          <w:bCs/>
          <w:color w:val="1F3864"/>
          <w:sz w:val="30"/>
          <w:szCs w:val="30"/>
        </w:rPr>
        <w:t xml:space="preserve">3. Business Objectives</w:t>
      </w:r>
    </w:p>
    <w:p>
      <w:pPr>
        <w:pStyle w:val="ListParagraph"/>
        <w:numPr>
          <w:ilvl w:val="0"/>
          <w:numId w:val="2"/>
        </w:numPr>
        <w:spacing w:after="60"/>
      </w:pPr>
      <w:r>
        <w:rPr>
          <w:sz w:val="21"/>
          <w:szCs w:val="21"/>
        </w:rPr>
        <w:t xml:space="preserve">Give Customer Success Managers (CSMs) and Account Managers (ACMs) a single, reliable view of account health to prioritize daily follow-up.</w:t>
      </w:r>
    </w:p>
    <w:p>
      <w:pPr>
        <w:pStyle w:val="ListParagraph"/>
        <w:numPr>
          <w:ilvl w:val="0"/>
          <w:numId w:val="2"/>
        </w:numPr>
        <w:spacing w:after="60"/>
      </w:pPr>
      <w:r>
        <w:rPr>
          <w:sz w:val="21"/>
          <w:szCs w:val="21"/>
        </w:rPr>
        <w:t xml:space="preserve">Replace subjective, manually-maintained health status with an automated, transparent, and auditable scoring engine.</w:t>
      </w:r>
    </w:p>
    <w:p>
      <w:pPr>
        <w:pStyle w:val="ListParagraph"/>
        <w:numPr>
          <w:ilvl w:val="0"/>
          <w:numId w:val="2"/>
        </w:numPr>
        <w:spacing w:after="60"/>
      </w:pPr>
      <w:r>
        <w:rPr>
          <w:sz w:val="21"/>
          <w:szCs w:val="21"/>
        </w:rPr>
        <w:t xml:space="preserve">Provide structured stakeholder (contact) management to reduce the risk of neglecting key relationships.</w:t>
      </w:r>
    </w:p>
    <w:p>
      <w:pPr>
        <w:pStyle w:val="ListParagraph"/>
        <w:numPr>
          <w:ilvl w:val="0"/>
          <w:numId w:val="2"/>
        </w:numPr>
        <w:spacing w:after="60"/>
      </w:pPr>
      <w:r>
        <w:rPr>
          <w:sz w:val="21"/>
          <w:szCs w:val="21"/>
        </w:rPr>
        <w:t xml:space="preserve">Automate renewal, meeting, and health-risk reminders so no critical follow-up is missed.</w:t>
      </w:r>
    </w:p>
    <w:p>
      <w:pPr>
        <w:pStyle w:val="ListParagraph"/>
        <w:numPr>
          <w:ilvl w:val="0"/>
          <w:numId w:val="2"/>
        </w:numPr>
        <w:spacing w:after="60"/>
      </w:pPr>
      <w:r>
        <w:rPr>
          <w:sz w:val="21"/>
          <w:szCs w:val="21"/>
        </w:rPr>
        <w:t xml:space="preserve">Establish a data foundation and modular architecture that can extend to Jira, Teams, Outlook, and a chatbot without re-engineering.</w:t>
      </w:r>
    </w:p>
    <w:p>
      <w:pPr>
        <w:pStyle w:val="ListParagraph"/>
        <w:numPr>
          <w:ilvl w:val="0"/>
          <w:numId w:val="2"/>
        </w:numPr>
        <w:spacing w:after="60"/>
      </w:pPr>
      <w:r>
        <w:rPr>
          <w:sz w:val="21"/>
          <w:szCs w:val="21"/>
        </w:rPr>
        <w:t xml:space="preserve">Enforce clear separation of responsibilities between health management (CSM) and commercial renewal (ACM).</w:t>
      </w:r>
    </w:p>
    <w:p>
      <w:pPr>
        <w:pStyle w:val="Heading1"/>
        <w:spacing w:after="160" w:before="360"/>
      </w:pPr>
      <w:r>
        <w:rPr>
          <w:b/>
          <w:bCs/>
          <w:color w:val="1F3864"/>
          <w:sz w:val="30"/>
          <w:szCs w:val="30"/>
        </w:rPr>
        <w:t xml:space="preserve">4. Scope</w:t>
      </w:r>
    </w:p>
    <w:p>
      <w:pPr>
        <w:pStyle w:val="Heading2"/>
        <w:spacing w:after="120" w:before="260"/>
      </w:pPr>
      <w:r>
        <w:rPr>
          <w:b/>
          <w:bCs/>
          <w:color w:val="2E74B5"/>
          <w:sz w:val="24"/>
          <w:szCs w:val="24"/>
        </w:rPr>
        <w:t xml:space="preserve">4.1 In Scope (MVP)</w:t>
      </w:r>
    </w:p>
    <w:p>
      <w:pPr>
        <w:pStyle w:val="ListParagraph"/>
        <w:numPr>
          <w:ilvl w:val="0"/>
          <w:numId w:val="2"/>
        </w:numPr>
        <w:spacing w:after="60"/>
      </w:pPr>
      <w:r>
        <w:rPr>
          <w:sz w:val="21"/>
          <w:szCs w:val="21"/>
        </w:rPr>
        <w:t xml:space="preserve">Web application (Python backend, persistent database) — not a spreadsheet-based tool.</w:t>
      </w:r>
    </w:p>
    <w:p>
      <w:pPr>
        <w:pStyle w:val="ListParagraph"/>
        <w:numPr>
          <w:ilvl w:val="0"/>
          <w:numId w:val="2"/>
        </w:numPr>
        <w:spacing w:after="60"/>
      </w:pPr>
      <w:r>
        <w:rPr>
          <w:sz w:val="21"/>
          <w:szCs w:val="21"/>
        </w:rPr>
        <w:t xml:space="preserve">One-time Excel import to seed ~60 existing accounts; all subsequent updates occur within the platform.</w:t>
      </w:r>
    </w:p>
    <w:p>
      <w:pPr>
        <w:pStyle w:val="ListParagraph"/>
        <w:numPr>
          <w:ilvl w:val="0"/>
          <w:numId w:val="2"/>
        </w:numPr>
        <w:spacing w:after="60"/>
      </w:pPr>
      <w:r>
        <w:rPr>
          <w:sz w:val="21"/>
          <w:szCs w:val="21"/>
        </w:rPr>
        <w:t xml:space="preserve">Automated Health Score engine with immediate (event-driven) and daily (scheduled) recalculation.</w:t>
      </w:r>
    </w:p>
    <w:p>
      <w:pPr>
        <w:pStyle w:val="ListParagraph"/>
        <w:numPr>
          <w:ilvl w:val="0"/>
          <w:numId w:val="2"/>
        </w:numPr>
        <w:spacing w:after="60"/>
      </w:pPr>
      <w:r>
        <w:rPr>
          <w:sz w:val="21"/>
          <w:szCs w:val="21"/>
        </w:rPr>
        <w:t xml:space="preserve">Full account lifecycle management (POC through Churned), independent of health status.</w:t>
      </w:r>
    </w:p>
    <w:p>
      <w:pPr>
        <w:pStyle w:val="ListParagraph"/>
        <w:numPr>
          <w:ilvl w:val="0"/>
          <w:numId w:val="2"/>
        </w:numPr>
        <w:spacing w:after="60"/>
      </w:pPr>
      <w:r>
        <w:rPr>
          <w:sz w:val="21"/>
          <w:szCs w:val="21"/>
        </w:rPr>
        <w:t xml:space="preserve">Stakeholder (Contact) management with a Power/Interest grid.</w:t>
      </w:r>
    </w:p>
    <w:p>
      <w:pPr>
        <w:pStyle w:val="ListParagraph"/>
        <w:numPr>
          <w:ilvl w:val="0"/>
          <w:numId w:val="2"/>
        </w:numPr>
        <w:spacing w:after="60"/>
      </w:pPr>
      <w:r>
        <w:rPr>
          <w:sz w:val="21"/>
          <w:szCs w:val="21"/>
        </w:rPr>
        <w:t xml:space="preserve">Activity logging, task/reminder engine, and in-app + email notifications.</w:t>
      </w:r>
    </w:p>
    <w:p>
      <w:pPr>
        <w:pStyle w:val="ListParagraph"/>
        <w:numPr>
          <w:ilvl w:val="0"/>
          <w:numId w:val="2"/>
        </w:numPr>
        <w:spacing w:after="60"/>
      </w:pPr>
      <w:r>
        <w:rPr>
          <w:sz w:val="21"/>
          <w:szCs w:val="21"/>
        </w:rPr>
        <w:t xml:space="preserve">Role-based dashboards and permissions across four effective access levels.</w:t>
      </w:r>
    </w:p>
    <w:p>
      <w:pPr>
        <w:pStyle w:val="ListParagraph"/>
        <w:numPr>
          <w:ilvl w:val="0"/>
          <w:numId w:val="2"/>
        </w:numPr>
        <w:spacing w:after="60"/>
      </w:pPr>
      <w:r>
        <w:rPr>
          <w:sz w:val="21"/>
          <w:szCs w:val="21"/>
        </w:rPr>
        <w:t xml:space="preserve">Global search across accounts.</w:t>
      </w:r>
    </w:p>
    <w:p>
      <w:pPr>
        <w:pStyle w:val="Heading2"/>
        <w:spacing w:after="120" w:before="260"/>
      </w:pPr>
      <w:r>
        <w:rPr>
          <w:b/>
          <w:bCs/>
          <w:color w:val="2E74B5"/>
          <w:sz w:val="24"/>
          <w:szCs w:val="24"/>
        </w:rPr>
        <w:t xml:space="preserve">4.2 Out of Scope (Future Phases)</w:t>
      </w:r>
    </w:p>
    <w:p>
      <w:pPr>
        <w:pStyle w:val="ListParagraph"/>
        <w:numPr>
          <w:ilvl w:val="0"/>
          <w:numId w:val="2"/>
        </w:numPr>
        <w:spacing w:after="60"/>
      </w:pPr>
      <w:r>
        <w:rPr>
          <w:sz w:val="21"/>
          <w:szCs w:val="21"/>
        </w:rPr>
        <w:t xml:space="preserve">Live integration with Jira (ticket creation/sync), Microsoft Teams, and Outlook.</w:t>
      </w:r>
    </w:p>
    <w:p>
      <w:pPr>
        <w:pStyle w:val="ListParagraph"/>
        <w:numPr>
          <w:ilvl w:val="0"/>
          <w:numId w:val="2"/>
        </w:numPr>
        <w:spacing w:after="60"/>
      </w:pPr>
      <w:r>
        <w:rPr>
          <w:sz w:val="21"/>
          <w:szCs w:val="21"/>
        </w:rPr>
        <w:t xml:space="preserve">Chatbot interface.</w:t>
      </w:r>
    </w:p>
    <w:p>
      <w:pPr>
        <w:pStyle w:val="ListParagraph"/>
        <w:numPr>
          <w:ilvl w:val="0"/>
          <w:numId w:val="2"/>
        </w:numPr>
        <w:spacing w:after="60"/>
      </w:pPr>
      <w:r>
        <w:rPr>
          <w:sz w:val="21"/>
          <w:szCs w:val="21"/>
        </w:rPr>
        <w:t xml:space="preserve">Automated CSAT survey delivery (manual entry only in this phase).</w:t>
      </w:r>
    </w:p>
    <w:p>
      <w:pPr>
        <w:pStyle w:val="ListParagraph"/>
        <w:numPr>
          <w:ilvl w:val="0"/>
          <w:numId w:val="2"/>
        </w:numPr>
        <w:spacing w:after="60"/>
      </w:pPr>
      <w:r>
        <w:rPr>
          <w:sz w:val="21"/>
          <w:szCs w:val="21"/>
        </w:rPr>
        <w:t xml:space="preserve">Automated pull of training completion / phishing simulation results from the dPhish platform API (manual entry only in this phase).</w:t>
      </w:r>
    </w:p>
    <w:p>
      <w:pPr>
        <w:pStyle w:val="ListParagraph"/>
        <w:numPr>
          <w:ilvl w:val="0"/>
          <w:numId w:val="2"/>
        </w:numPr>
        <w:spacing w:after="60"/>
      </w:pPr>
      <w:r>
        <w:rPr>
          <w:sz w:val="21"/>
          <w:szCs w:val="21"/>
        </w:rPr>
        <w:t xml:space="preserve">Playbooks / stage-based checklists (explicitly deferred — see Section 12).</w:t>
      </w:r>
    </w:p>
    <w:p>
      <w:pPr>
        <w:pStyle w:val="ListParagraph"/>
        <w:numPr>
          <w:ilvl w:val="0"/>
          <w:numId w:val="2"/>
        </w:numPr>
        <w:spacing w:after="60"/>
      </w:pPr>
      <w:r>
        <w:rPr>
          <w:sz w:val="21"/>
          <w:szCs w:val="21"/>
        </w:rPr>
        <w:t xml:space="preserve">Hosting environment selection (to be decided; does not affect this scope).</w:t>
      </w:r>
    </w:p>
    <w:p>
      <w:pPr>
        <w:pStyle w:val="Heading1"/>
        <w:spacing w:after="160" w:before="360"/>
      </w:pPr>
      <w:r>
        <w:rPr>
          <w:b/>
          <w:bCs/>
          <w:color w:val="1F3864"/>
          <w:sz w:val="30"/>
          <w:szCs w:val="30"/>
        </w:rPr>
        <w:t xml:space="preserve">5. Stakeholders &amp; User Roles</w:t>
      </w:r>
    </w:p>
    <w:p>
      <w:pPr>
        <w:spacing w:after="140"/>
      </w:pPr>
      <w:r>
        <w:rPr>
          <w:sz w:val="21"/>
          <w:szCs w:val="21"/>
        </w:rPr>
        <w:t xml:space="preserve">The platform distinguishes between internal dPhish staff (Users, with login access) and client-side people (Contacts, no system access — see Section 8).</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700"/>
      </w:tblGrid>
      <w:tr>
        <w:trPr>
          <w:tblHeader/>
        </w:trPr>
        <w:tc>
          <w:tcPr>
            <w:tcW w:type="dxa" w:w="1600"/>
            <w:shd w:fill="1F3864" w:val="clear"/>
            <w:tcMar>
              <w:top w:type="dxa" w:w="80"/>
              <w:left w:type="dxa" w:w="100"/>
              <w:bottom w:type="dxa" w:w="80"/>
              <w:right w:type="dxa" w:w="100"/>
            </w:tcMar>
          </w:tcPr>
          <w:p>
            <w:r>
              <w:rPr>
                <w:b/>
                <w:bCs/>
                <w:color w:val="FFFFFF"/>
                <w:sz w:val="19"/>
                <w:szCs w:val="19"/>
              </w:rPr>
              <w:t xml:space="preserve">Role</w:t>
            </w:r>
          </w:p>
        </w:tc>
        <w:tc>
          <w:tcPr>
            <w:tcW w:type="dxa" w:w="2000"/>
            <w:shd w:fill="1F3864" w:val="clear"/>
            <w:tcMar>
              <w:top w:type="dxa" w:w="80"/>
              <w:left w:type="dxa" w:w="100"/>
              <w:bottom w:type="dxa" w:w="80"/>
              <w:right w:type="dxa" w:w="100"/>
            </w:tcMar>
          </w:tcPr>
          <w:p>
            <w:r>
              <w:rPr>
                <w:b/>
                <w:bCs/>
                <w:color w:val="FFFFFF"/>
                <w:sz w:val="19"/>
                <w:szCs w:val="19"/>
              </w:rPr>
              <w:t xml:space="preserve">Scope</w:t>
            </w:r>
          </w:p>
        </w:tc>
        <w:tc>
          <w:tcPr>
            <w:tcW w:type="dxa" w:w="3200"/>
            <w:shd w:fill="1F3864" w:val="clear"/>
            <w:tcMar>
              <w:top w:type="dxa" w:w="80"/>
              <w:left w:type="dxa" w:w="100"/>
              <w:bottom w:type="dxa" w:w="80"/>
              <w:right w:type="dxa" w:w="100"/>
            </w:tcMar>
          </w:tcPr>
          <w:p>
            <w:r>
              <w:rPr>
                <w:b/>
                <w:bCs/>
                <w:color w:val="FFFFFF"/>
                <w:sz w:val="19"/>
                <w:szCs w:val="19"/>
              </w:rPr>
              <w:t xml:space="preserve">Permission Level</w:t>
            </w:r>
          </w:p>
        </w:tc>
        <w:tc>
          <w:tcPr>
            <w:tcW w:type="dxa" w:w="2700"/>
            <w:shd w:fill="1F3864" w:val="clear"/>
            <w:tcMar>
              <w:top w:type="dxa" w:w="80"/>
              <w:left w:type="dxa" w:w="100"/>
              <w:bottom w:type="dxa" w:w="80"/>
              <w:right w:type="dxa" w:w="100"/>
            </w:tcMar>
          </w:tcPr>
          <w:p>
            <w:r>
              <w:rPr>
                <w:b/>
                <w:bCs/>
                <w:color w:val="FFFFFF"/>
                <w:sz w:val="19"/>
                <w:szCs w:val="19"/>
              </w:rPr>
              <w:t xml:space="preserve">Key Notes</w:t>
            </w:r>
          </w:p>
        </w:tc>
      </w:tr>
      <w:tr>
        <w:tc>
          <w:tcPr>
            <w:tcW w:type="dxa" w:w="1600"/>
            <w:tcMar>
              <w:top w:type="dxa" w:w="80"/>
              <w:left w:type="dxa" w:w="100"/>
              <w:bottom w:type="dxa" w:w="80"/>
              <w:right w:type="dxa" w:w="100"/>
            </w:tcMar>
          </w:tcPr>
          <w:p>
            <w:r>
              <w:rPr>
                <w:b w:val="false"/>
                <w:bCs w:val="false"/>
                <w:color w:val="000000"/>
                <w:sz w:val="20"/>
                <w:szCs w:val="20"/>
              </w:rPr>
              <w:t xml:space="preserve">CSM</w:t>
            </w:r>
          </w:p>
        </w:tc>
        <w:tc>
          <w:tcPr>
            <w:tcW w:type="dxa" w:w="2000"/>
            <w:tcMar>
              <w:top w:type="dxa" w:w="80"/>
              <w:left w:type="dxa" w:w="100"/>
              <w:bottom w:type="dxa" w:w="80"/>
              <w:right w:type="dxa" w:w="100"/>
            </w:tcMar>
          </w:tcPr>
          <w:p>
            <w:r>
              <w:rPr>
                <w:b w:val="false"/>
                <w:bCs w:val="false"/>
                <w:color w:val="000000"/>
                <w:sz w:val="20"/>
                <w:szCs w:val="20"/>
              </w:rPr>
              <w:t xml:space="preserve">Assigned accounts only</w:t>
            </w:r>
          </w:p>
        </w:tc>
        <w:tc>
          <w:tcPr>
            <w:tcW w:type="dxa" w:w="3200"/>
            <w:tcMar>
              <w:top w:type="dxa" w:w="80"/>
              <w:left w:type="dxa" w:w="100"/>
              <w:bottom w:type="dxa" w:w="80"/>
              <w:right w:type="dxa" w:w="100"/>
            </w:tcMar>
          </w:tcPr>
          <w:p>
            <w:r>
              <w:rPr>
                <w:b w:val="false"/>
                <w:bCs w:val="false"/>
                <w:color w:val="000000"/>
                <w:sz w:val="20"/>
                <w:szCs w:val="20"/>
              </w:rPr>
              <w:t xml:space="preserve">Full edit: Health, Activity, Contacts, Tasks</w:t>
            </w:r>
          </w:p>
        </w:tc>
        <w:tc>
          <w:tcPr>
            <w:tcW w:type="dxa" w:w="2700"/>
            <w:tcMar>
              <w:top w:type="dxa" w:w="80"/>
              <w:left w:type="dxa" w:w="100"/>
              <w:bottom w:type="dxa" w:w="80"/>
              <w:right w:type="dxa" w:w="100"/>
            </w:tcMar>
          </w:tcPr>
          <w:p>
            <w:r>
              <w:rPr>
                <w:b w:val="false"/>
                <w:bCs w:val="false"/>
                <w:color w:val="000000"/>
                <w:sz w:val="20"/>
                <w:szCs w:val="20"/>
              </w:rPr>
              <w:t xml:space="preserve">Cannot view colleagues' accounts</w:t>
            </w:r>
          </w:p>
        </w:tc>
      </w:tr>
      <w:tr>
        <w:tc>
          <w:tcPr>
            <w:tcW w:type="dxa" w:w="1600"/>
            <w:shd w:fill="F2F2F2" w:val="clear"/>
            <w:tcMar>
              <w:top w:type="dxa" w:w="80"/>
              <w:left w:type="dxa" w:w="100"/>
              <w:bottom w:type="dxa" w:w="80"/>
              <w:right w:type="dxa" w:w="100"/>
            </w:tcMar>
          </w:tcPr>
          <w:p>
            <w:r>
              <w:rPr>
                <w:b w:val="false"/>
                <w:bCs w:val="false"/>
                <w:color w:val="000000"/>
                <w:sz w:val="20"/>
                <w:szCs w:val="20"/>
              </w:rPr>
              <w:t xml:space="preserve">CSM Senior</w:t>
            </w:r>
          </w:p>
        </w:tc>
        <w:tc>
          <w:tcPr>
            <w:tcW w:type="dxa" w:w="2000"/>
            <w:shd w:fill="F2F2F2" w:val="clear"/>
            <w:tcMar>
              <w:top w:type="dxa" w:w="80"/>
              <w:left w:type="dxa" w:w="100"/>
              <w:bottom w:type="dxa" w:w="80"/>
              <w:right w:type="dxa" w:w="100"/>
            </w:tcMar>
          </w:tcPr>
          <w:p>
            <w:r>
              <w:rPr>
                <w:b w:val="false"/>
                <w:bCs w:val="false"/>
                <w:color w:val="000000"/>
                <w:sz w:val="20"/>
                <w:szCs w:val="20"/>
              </w:rPr>
              <w:t xml:space="preserve">All accounts</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Full edit, no scope restriction</w:t>
            </w:r>
          </w:p>
        </w:tc>
        <w:tc>
          <w:tcPr>
            <w:tcW w:type="dxa" w:w="2700"/>
            <w:shd w:fill="F2F2F2" w:val="clear"/>
            <w:tcMar>
              <w:top w:type="dxa" w:w="80"/>
              <w:left w:type="dxa" w:w="100"/>
              <w:bottom w:type="dxa" w:w="80"/>
              <w:right w:type="dxa" w:w="100"/>
            </w:tcMar>
          </w:tcPr>
          <w:p>
            <w:r>
              <w:rPr>
                <w:b w:val="false"/>
                <w:bCs w:val="false"/>
                <w:color w:val="000000"/>
                <w:sz w:val="20"/>
                <w:szCs w:val="20"/>
              </w:rPr>
              <w:t xml:space="preserve">Elevated flag (is_senior) on the CSM role; account deletion restricted to this level</w:t>
            </w:r>
          </w:p>
        </w:tc>
      </w:tr>
      <w:tr>
        <w:tc>
          <w:tcPr>
            <w:tcW w:type="dxa" w:w="1600"/>
            <w:tcMar>
              <w:top w:type="dxa" w:w="80"/>
              <w:left w:type="dxa" w:w="100"/>
              <w:bottom w:type="dxa" w:w="80"/>
              <w:right w:type="dxa" w:w="100"/>
            </w:tcMar>
          </w:tcPr>
          <w:p>
            <w:r>
              <w:rPr>
                <w:b w:val="false"/>
                <w:bCs w:val="false"/>
                <w:color w:val="000000"/>
                <w:sz w:val="20"/>
                <w:szCs w:val="20"/>
              </w:rPr>
              <w:t xml:space="preserve">ACM</w:t>
            </w:r>
          </w:p>
        </w:tc>
        <w:tc>
          <w:tcPr>
            <w:tcW w:type="dxa" w:w="2000"/>
            <w:tcMar>
              <w:top w:type="dxa" w:w="80"/>
              <w:left w:type="dxa" w:w="100"/>
              <w:bottom w:type="dxa" w:w="80"/>
              <w:right w:type="dxa" w:w="100"/>
            </w:tcMar>
          </w:tcPr>
          <w:p>
            <w:r>
              <w:rPr>
                <w:b w:val="false"/>
                <w:bCs w:val="false"/>
                <w:color w:val="000000"/>
                <w:sz w:val="20"/>
                <w:szCs w:val="20"/>
              </w:rPr>
              <w:t xml:space="preserve">Assigned accounts only</w:t>
            </w:r>
          </w:p>
        </w:tc>
        <w:tc>
          <w:tcPr>
            <w:tcW w:type="dxa" w:w="3200"/>
            <w:tcMar>
              <w:top w:type="dxa" w:w="80"/>
              <w:left w:type="dxa" w:w="100"/>
              <w:bottom w:type="dxa" w:w="80"/>
              <w:right w:type="dxa" w:w="100"/>
            </w:tcMar>
          </w:tcPr>
          <w:p>
            <w:r>
              <w:rPr>
                <w:b w:val="false"/>
                <w:bCs w:val="false"/>
                <w:color w:val="000000"/>
                <w:sz w:val="20"/>
                <w:szCs w:val="20"/>
              </w:rPr>
              <w:t xml:space="preserve">Renewal-related data and tasks only</w:t>
            </w:r>
          </w:p>
        </w:tc>
        <w:tc>
          <w:tcPr>
            <w:tcW w:type="dxa" w:w="2700"/>
            <w:tcMar>
              <w:top w:type="dxa" w:w="80"/>
              <w:left w:type="dxa" w:w="100"/>
              <w:bottom w:type="dxa" w:w="80"/>
              <w:right w:type="dxa" w:w="100"/>
            </w:tcMar>
          </w:tcPr>
          <w:p>
            <w:r>
              <w:rPr>
                <w:b w:val="false"/>
                <w:bCs w:val="false"/>
                <w:color w:val="000000"/>
                <w:sz w:val="20"/>
                <w:szCs w:val="20"/>
              </w:rPr>
              <w:t xml:space="preserve">Never receives Health Score visibility, by design</w:t>
            </w:r>
          </w:p>
        </w:tc>
      </w:tr>
      <w:tr>
        <w:tc>
          <w:tcPr>
            <w:tcW w:type="dxa" w:w="1600"/>
            <w:shd w:fill="F2F2F2" w:val="clear"/>
            <w:tcMar>
              <w:top w:type="dxa" w:w="80"/>
              <w:left w:type="dxa" w:w="100"/>
              <w:bottom w:type="dxa" w:w="80"/>
              <w:right w:type="dxa" w:w="100"/>
            </w:tcMar>
          </w:tcPr>
          <w:p>
            <w:r>
              <w:rPr>
                <w:b w:val="false"/>
                <w:bCs w:val="false"/>
                <w:color w:val="000000"/>
                <w:sz w:val="20"/>
                <w:szCs w:val="20"/>
              </w:rPr>
              <w:t xml:space="preserve">Manager</w:t>
            </w:r>
          </w:p>
        </w:tc>
        <w:tc>
          <w:tcPr>
            <w:tcW w:type="dxa" w:w="2000"/>
            <w:shd w:fill="F2F2F2" w:val="clear"/>
            <w:tcMar>
              <w:top w:type="dxa" w:w="80"/>
              <w:left w:type="dxa" w:w="100"/>
              <w:bottom w:type="dxa" w:w="80"/>
              <w:right w:type="dxa" w:w="100"/>
            </w:tcMar>
          </w:tcPr>
          <w:p>
            <w:r>
              <w:rPr>
                <w:b w:val="false"/>
                <w:bCs w:val="false"/>
                <w:color w:val="000000"/>
                <w:sz w:val="20"/>
                <w:szCs w:val="20"/>
              </w:rPr>
              <w:t xml:space="preserve">All accounts</w:t>
            </w:r>
          </w:p>
        </w:tc>
        <w:tc>
          <w:tcPr>
            <w:tcW w:type="dxa" w:w="3200"/>
            <w:shd w:fill="F2F2F2" w:val="clear"/>
            <w:tcMar>
              <w:top w:type="dxa" w:w="80"/>
              <w:left w:type="dxa" w:w="100"/>
              <w:bottom w:type="dxa" w:w="80"/>
              <w:right w:type="dxa" w:w="100"/>
            </w:tcMar>
          </w:tcPr>
          <w:p>
            <w:r>
              <w:rPr>
                <w:b w:val="false"/>
                <w:bCs w:val="false"/>
                <w:color w:val="000000"/>
                <w:sz w:val="20"/>
                <w:szCs w:val="20"/>
              </w:rPr>
              <w:t xml:space="preserve">View-only</w:t>
            </w:r>
          </w:p>
        </w:tc>
        <w:tc>
          <w:tcPr>
            <w:tcW w:type="dxa" w:w="2700"/>
            <w:shd w:fill="F2F2F2" w:val="clear"/>
            <w:tcMar>
              <w:top w:type="dxa" w:w="80"/>
              <w:left w:type="dxa" w:w="100"/>
              <w:bottom w:type="dxa" w:w="80"/>
              <w:right w:type="dxa" w:w="100"/>
            </w:tcMar>
          </w:tcPr>
          <w:p>
            <w:r>
              <w:rPr>
                <w:b w:val="false"/>
                <w:bCs w:val="false"/>
                <w:color w:val="000000"/>
                <w:sz w:val="20"/>
                <w:szCs w:val="20"/>
              </w:rPr>
              <w:t xml:space="preserve">Cannot edit; sees full dashboard and account detail</w:t>
            </w:r>
          </w:p>
        </w:tc>
      </w:tr>
    </w:tbl>
    <w:p>
      <w:pPr>
        <w:spacing w:after="140"/>
      </w:pPr>
      <w:r>
        <w:rPr>
          <w:sz w:val="21"/>
          <w:szCs w:val="21"/>
        </w:rPr>
        <w:t xml:space="preserve">Notification routing is governed separately from view/edit access — see Section 9.4.</w:t>
      </w:r>
    </w:p>
    <w:p>
      <w:pPr>
        <w:pStyle w:val="Heading1"/>
        <w:spacing w:after="160" w:before="360"/>
      </w:pPr>
      <w:r>
        <w:rPr>
          <w:b/>
          <w:bCs/>
          <w:color w:val="1F3864"/>
          <w:sz w:val="30"/>
          <w:szCs w:val="30"/>
        </w:rPr>
        <w:t xml:space="preserve">6. Business Requirements</w:t>
      </w:r>
    </w:p>
    <w:p>
      <w:pPr>
        <w:pStyle w:val="Heading2"/>
        <w:spacing w:after="120" w:before="260"/>
      </w:pPr>
      <w:r>
        <w:rPr>
          <w:b/>
          <w:bCs/>
          <w:color w:val="2E74B5"/>
          <w:sz w:val="24"/>
          <w:szCs w:val="24"/>
        </w:rPr>
        <w:t xml:space="preserve">6.1 Account Management</w:t>
      </w:r>
    </w:p>
    <w:p>
      <w:pPr>
        <w:pStyle w:val="ListParagraph"/>
        <w:numPr>
          <w:ilvl w:val="0"/>
          <w:numId w:val="3"/>
        </w:numPr>
        <w:spacing w:after="60"/>
      </w:pPr>
      <w:r>
        <w:rPr>
          <w:sz w:val="21"/>
          <w:szCs w:val="21"/>
        </w:rPr>
        <w:t xml:space="preserve">The system shall allow creation, editing, and deletion of Account records directly within the platform (not only via Excel import).</w:t>
      </w:r>
    </w:p>
    <w:p>
      <w:pPr>
        <w:pStyle w:val="ListParagraph"/>
        <w:numPr>
          <w:ilvl w:val="0"/>
          <w:numId w:val="3"/>
        </w:numPr>
        <w:spacing w:after="60"/>
      </w:pPr>
      <w:r>
        <w:rPr>
          <w:sz w:val="21"/>
          <w:szCs w:val="21"/>
        </w:rPr>
        <w:t xml:space="preserve">Account deletion shall be restricted to the CSM Senior role, as it cascades to all linked Activities, Contacts, and Tasks.</w:t>
      </w:r>
    </w:p>
    <w:p>
      <w:pPr>
        <w:pStyle w:val="ListParagraph"/>
        <w:numPr>
          <w:ilvl w:val="0"/>
          <w:numId w:val="3"/>
        </w:numPr>
        <w:spacing w:after="60"/>
      </w:pPr>
      <w:r>
        <w:rPr>
          <w:sz w:val="21"/>
          <w:szCs w:val="21"/>
        </w:rPr>
        <w:t xml:space="preserve">Each Account shall support a Description field (free text), a Logo image, a Tenant URL, and a Drive URL.</w:t>
      </w:r>
    </w:p>
    <w:p>
      <w:pPr>
        <w:pStyle w:val="ListParagraph"/>
        <w:numPr>
          <w:ilvl w:val="0"/>
          <w:numId w:val="3"/>
        </w:numPr>
        <w:spacing w:after="60"/>
      </w:pPr>
      <w:r>
        <w:rPr>
          <w:sz w:val="21"/>
          <w:szCs w:val="21"/>
        </w:rPr>
        <w:t xml:space="preserve">Each Account shall carry three independent classification attributes: Class (strategic tier), Health Status (computed), and Size (operational tier). These shall never influence one another's computation.</w:t>
      </w:r>
    </w:p>
    <w:p>
      <w:pPr>
        <w:pStyle w:val="ListParagraph"/>
        <w:numPr>
          <w:ilvl w:val="0"/>
          <w:numId w:val="3"/>
        </w:numPr>
        <w:spacing w:after="60"/>
      </w:pPr>
      <w:r>
        <w:rPr>
          <w:sz w:val="21"/>
          <w:szCs w:val="21"/>
        </w:rPr>
        <w:t xml:space="preserve">Each Account shall have a Lifecycle Stage reflecting its commercial journey, independent of its Health Status.</w:t>
      </w:r>
    </w:p>
    <w:p>
      <w:pPr>
        <w:pStyle w:val="Heading2"/>
        <w:spacing w:after="120" w:before="260"/>
      </w:pPr>
      <w:r>
        <w:rPr>
          <w:b/>
          <w:bCs/>
          <w:color w:val="2E74B5"/>
          <w:sz w:val="24"/>
          <w:szCs w:val="24"/>
        </w:rPr>
        <w:t xml:space="preserve">6.2 Lifecycle Stage Management</w:t>
      </w:r>
    </w:p>
    <w:p>
      <w:pPr>
        <w:spacing w:after="140"/>
      </w:pPr>
      <w:r>
        <w:rPr>
          <w:sz w:val="21"/>
          <w:szCs w:val="21"/>
        </w:rPr>
        <w:t xml:space="preserve">The full stage progression shall be:</w:t>
      </w:r>
    </w:p>
    <w:p>
      <w:pPr>
        <w:pStyle w:val="ListParagraph"/>
        <w:numPr>
          <w:ilvl w:val="0"/>
          <w:numId w:val="2"/>
        </w:numPr>
        <w:spacing w:after="60"/>
      </w:pPr>
      <w:r>
        <w:rPr>
          <w:sz w:val="21"/>
          <w:szCs w:val="21"/>
        </w:rPr>
        <w:t xml:space="preserve">POC → Closed-Won → Onboarding → Active → Adoption → Renewal → Expansion</w:t>
      </w:r>
    </w:p>
    <w:p>
      <w:pPr>
        <w:pStyle w:val="ListParagraph"/>
        <w:numPr>
          <w:ilvl w:val="0"/>
          <w:numId w:val="2"/>
        </w:numPr>
        <w:spacing w:after="60"/>
      </w:pPr>
      <w:r>
        <w:rPr>
          <w:sz w:val="21"/>
          <w:szCs w:val="21"/>
        </w:rPr>
        <w:t xml:space="preserve">POC → Closed-Lost (a permanent terminal state, distinct from Closed-Won)</w:t>
      </w:r>
    </w:p>
    <w:p>
      <w:pPr>
        <w:pStyle w:val="ListParagraph"/>
        <w:numPr>
          <w:ilvl w:val="0"/>
          <w:numId w:val="2"/>
        </w:numPr>
        <w:spacing w:after="60"/>
      </w:pPr>
      <w:r>
        <w:rPr>
          <w:sz w:val="21"/>
          <w:szCs w:val="21"/>
        </w:rPr>
        <w:t xml:space="preserve">Any stage from Active onward → Churned (reversible: Churned → Onboarding, if a new contract is signed)</w:t>
      </w:r>
    </w:p>
    <w:p>
      <w:pPr>
        <w:spacing w:after="140"/>
      </w:pPr>
      <w:r>
        <w:rPr>
          <w:sz w:val="21"/>
          <w:szCs w:val="21"/>
        </w:rPr>
        <w:t xml:space="preserve">Business rules:</w:t>
      </w:r>
    </w:p>
    <w:p>
      <w:pPr>
        <w:pStyle w:val="ListParagraph"/>
        <w:numPr>
          <w:ilvl w:val="0"/>
          <w:numId w:val="3"/>
        </w:numPr>
        <w:spacing w:after="60"/>
      </w:pPr>
      <w:r>
        <w:rPr>
          <w:sz w:val="21"/>
          <w:szCs w:val="21"/>
        </w:rPr>
        <w:t xml:space="preserve">During POC, Closed-Won, Closed-Lost, Onboarding, or Churned, the Health Score shall not be calculated (status = N/A).</w:t>
      </w:r>
    </w:p>
    <w:p>
      <w:pPr>
        <w:pStyle w:val="ListParagraph"/>
        <w:numPr>
          <w:ilvl w:val="0"/>
          <w:numId w:val="3"/>
        </w:numPr>
        <w:spacing w:after="60"/>
      </w:pPr>
      <w:r>
        <w:rPr>
          <w:sz w:val="21"/>
          <w:szCs w:val="21"/>
        </w:rPr>
        <w:t xml:space="preserve">During POC specifically, both the CSM and ACM assigned to the account shall jointly receive all tasks and notifications for that account — an explicit exception to the standard role separation, reflecting that POC is a joint pre-sales/success effort.</w:t>
      </w:r>
    </w:p>
    <w:p>
      <w:pPr>
        <w:pStyle w:val="ListParagraph"/>
        <w:numPr>
          <w:ilvl w:val="0"/>
          <w:numId w:val="3"/>
        </w:numPr>
        <w:spacing w:after="60"/>
      </w:pPr>
      <w:r>
        <w:rPr>
          <w:sz w:val="21"/>
          <w:szCs w:val="21"/>
        </w:rPr>
        <w:t xml:space="preserve">Closed-Lost accounts shall remain visible in the system (for reporting) rather than being archived or deleted.</w:t>
      </w:r>
    </w:p>
    <w:p>
      <w:pPr>
        <w:pStyle w:val="ListParagraph"/>
        <w:numPr>
          <w:ilvl w:val="0"/>
          <w:numId w:val="3"/>
        </w:numPr>
        <w:spacing w:after="60"/>
      </w:pPr>
      <w:r>
        <w:rPr>
          <w:sz w:val="21"/>
          <w:szCs w:val="21"/>
        </w:rPr>
        <w:t xml:space="preserve">The Health Score calculation logic shall be identical across Active, Adoption, Renewal, and Expansion stages — no stage-specific weighting or thresholds.</w:t>
      </w:r>
    </w:p>
    <w:p>
      <w:pPr>
        <w:pStyle w:val="ListParagraph"/>
        <w:numPr>
          <w:ilvl w:val="0"/>
          <w:numId w:val="3"/>
        </w:numPr>
        <w:spacing w:after="60"/>
      </w:pPr>
      <w:r>
        <w:rPr>
          <w:sz w:val="21"/>
          <w:szCs w:val="21"/>
        </w:rPr>
        <w:t xml:space="preserve">If Lifecycle Stage is left blank during Excel import, it shall default to Active.</w:t>
      </w:r>
    </w:p>
    <w:p>
      <w:pPr>
        <w:pStyle w:val="Heading2"/>
        <w:spacing w:after="120" w:before="260"/>
      </w:pPr>
      <w:r>
        <w:rPr>
          <w:b/>
          <w:bCs/>
          <w:color w:val="2E74B5"/>
          <w:sz w:val="24"/>
          <w:szCs w:val="24"/>
        </w:rPr>
        <w:t xml:space="preserve">6.3 Health Score Engine</w:t>
      </w:r>
    </w:p>
    <w:p>
      <w:pPr>
        <w:spacing w:after="140"/>
      </w:pPr>
      <w:r>
        <w:rPr>
          <w:sz w:val="21"/>
          <w:szCs w:val="21"/>
        </w:rPr>
        <w:t xml:space="preserve">The system shall compute an automated, weighted Health Score per account, converted into a traffic-light Health Status (Healthy / Watch / At Risk).</w:t>
      </w:r>
    </w:p>
    <w:p>
      <w:pPr>
        <w:pStyle w:val="Heading3"/>
        <w:spacing w:after="80" w:before="200"/>
      </w:pPr>
      <w:r>
        <w:rPr>
          <w:b/>
          <w:bCs/>
          <w:sz w:val="22"/>
          <w:szCs w:val="22"/>
        </w:rPr>
        <w:t xml:space="preserve">6.3.1 Scoring Factors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550"/>
        <w:gridCol w:w="1550"/>
        <w:gridCol w:w="44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Factor</w:t>
            </w:r>
          </w:p>
        </w:tc>
        <w:tc>
          <w:tcPr>
            <w:tcW w:type="dxa" w:w="1550"/>
            <w:shd w:fill="1F3864" w:val="clear"/>
            <w:tcMar>
              <w:top w:type="dxa" w:w="80"/>
              <w:left w:type="dxa" w:w="100"/>
              <w:bottom w:type="dxa" w:w="80"/>
              <w:right w:type="dxa" w:w="100"/>
            </w:tcMar>
          </w:tcPr>
          <w:p>
            <w:r>
              <w:rPr>
                <w:b/>
                <w:bCs/>
                <w:color w:val="FFFFFF"/>
                <w:sz w:val="19"/>
                <w:szCs w:val="19"/>
              </w:rPr>
              <w:t xml:space="preserve">Managed Service</w:t>
            </w:r>
          </w:p>
        </w:tc>
        <w:tc>
          <w:tcPr>
            <w:tcW w:type="dxa" w:w="1550"/>
            <w:shd w:fill="1F3864" w:val="clear"/>
            <w:tcMar>
              <w:top w:type="dxa" w:w="80"/>
              <w:left w:type="dxa" w:w="100"/>
              <w:bottom w:type="dxa" w:w="80"/>
              <w:right w:type="dxa" w:w="100"/>
            </w:tcMar>
          </w:tcPr>
          <w:p>
            <w:r>
              <w:rPr>
                <w:b/>
                <w:bCs/>
                <w:color w:val="FFFFFF"/>
                <w:sz w:val="19"/>
                <w:szCs w:val="19"/>
              </w:rPr>
              <w:t xml:space="preserve">Non-Managed</w:t>
            </w:r>
          </w:p>
        </w:tc>
        <w:tc>
          <w:tcPr>
            <w:tcW w:type="dxa" w:w="4400"/>
            <w:shd w:fill="1F3864" w:val="clear"/>
            <w:tcMar>
              <w:top w:type="dxa" w:w="80"/>
              <w:left w:type="dxa" w:w="100"/>
              <w:bottom w:type="dxa" w:w="80"/>
              <w:right w:type="dxa" w:w="100"/>
            </w:tcMar>
          </w:tcPr>
          <w:p>
            <w:r>
              <w:rPr>
                <w:b/>
                <w:bCs/>
                <w:color w:val="FFFFFF"/>
                <w:sz w:val="19"/>
                <w:szCs w:val="19"/>
              </w:rPr>
              <w:t xml:space="preserve">Rule</w:t>
            </w:r>
          </w:p>
        </w:tc>
      </w:tr>
      <w:tr>
        <w:tc>
          <w:tcPr>
            <w:tcW w:type="dxa" w:w="2000"/>
            <w:tcMar>
              <w:top w:type="dxa" w:w="80"/>
              <w:left w:type="dxa" w:w="100"/>
              <w:bottom w:type="dxa" w:w="80"/>
              <w:right w:type="dxa" w:w="100"/>
            </w:tcMar>
          </w:tcPr>
          <w:p>
            <w:r>
              <w:rPr>
                <w:b w:val="false"/>
                <w:bCs w:val="false"/>
                <w:color w:val="000000"/>
                <w:sz w:val="20"/>
                <w:szCs w:val="20"/>
              </w:rPr>
              <w:t xml:space="preserve">Open Tickets</w:t>
            </w:r>
          </w:p>
        </w:tc>
        <w:tc>
          <w:tcPr>
            <w:tcW w:type="dxa" w:w="1550"/>
            <w:tcMar>
              <w:top w:type="dxa" w:w="80"/>
              <w:left w:type="dxa" w:w="100"/>
              <w:bottom w:type="dxa" w:w="80"/>
              <w:right w:type="dxa" w:w="100"/>
            </w:tcMar>
          </w:tcPr>
          <w:p>
            <w:r>
              <w:rPr>
                <w:b w:val="false"/>
                <w:bCs w:val="false"/>
                <w:color w:val="000000"/>
                <w:sz w:val="20"/>
                <w:szCs w:val="20"/>
              </w:rPr>
              <w:t xml:space="preserve">20%</w:t>
            </w:r>
          </w:p>
        </w:tc>
        <w:tc>
          <w:tcPr>
            <w:tcW w:type="dxa" w:w="1550"/>
            <w:tcMar>
              <w:top w:type="dxa" w:w="80"/>
              <w:left w:type="dxa" w:w="100"/>
              <w:bottom w:type="dxa" w:w="80"/>
              <w:right w:type="dxa" w:w="100"/>
            </w:tcMar>
          </w:tcPr>
          <w:p>
            <w:r>
              <w:rPr>
                <w:b w:val="false"/>
                <w:bCs w:val="false"/>
                <w:color w:val="000000"/>
                <w:sz w:val="20"/>
                <w:szCs w:val="20"/>
              </w:rPr>
              <w:t xml:space="preserve">25%</w:t>
            </w:r>
          </w:p>
        </w:tc>
        <w:tc>
          <w:tcPr>
            <w:tcW w:type="dxa" w:w="4400"/>
            <w:tcMar>
              <w:top w:type="dxa" w:w="80"/>
              <w:left w:type="dxa" w:w="100"/>
              <w:bottom w:type="dxa" w:w="80"/>
              <w:right w:type="dxa" w:w="100"/>
            </w:tcMar>
          </w:tcPr>
          <w:p>
            <w:r>
              <w:rPr>
                <w:b w:val="false"/>
                <w:bCs w:val="false"/>
                <w:color w:val="000000"/>
                <w:sz w:val="20"/>
                <w:szCs w:val="20"/>
              </w:rPr>
              <w:t xml:space="preserve">Weighted score = (Bugs × 3) + (General × 1). 0 = green, 1–3 = yellow, 4+ = red.</w:t>
            </w:r>
          </w:p>
        </w:tc>
      </w:tr>
      <w:tr>
        <w:tc>
          <w:tcPr>
            <w:tcW w:type="dxa" w:w="2000"/>
            <w:shd w:fill="F2F2F2" w:val="clear"/>
            <w:tcMar>
              <w:top w:type="dxa" w:w="80"/>
              <w:left w:type="dxa" w:w="100"/>
              <w:bottom w:type="dxa" w:w="80"/>
              <w:right w:type="dxa" w:w="100"/>
            </w:tcMar>
          </w:tcPr>
          <w:p>
            <w:r>
              <w:rPr>
                <w:b w:val="false"/>
                <w:bCs w:val="false"/>
                <w:color w:val="000000"/>
                <w:sz w:val="20"/>
                <w:szCs w:val="20"/>
              </w:rPr>
              <w:t xml:space="preserve">Monthly Adoption</w:t>
            </w:r>
          </w:p>
        </w:tc>
        <w:tc>
          <w:tcPr>
            <w:tcW w:type="dxa" w:w="1550"/>
            <w:shd w:fill="F2F2F2" w:val="clear"/>
            <w:tcMar>
              <w:top w:type="dxa" w:w="80"/>
              <w:left w:type="dxa" w:w="100"/>
              <w:bottom w:type="dxa" w:w="80"/>
              <w:right w:type="dxa" w:w="100"/>
            </w:tcMar>
          </w:tcPr>
          <w:p>
            <w:r>
              <w:rPr>
                <w:b w:val="false"/>
                <w:bCs w:val="false"/>
                <w:color w:val="000000"/>
                <w:sz w:val="20"/>
                <w:szCs w:val="20"/>
              </w:rPr>
              <w:t xml:space="preserve">20%</w:t>
            </w:r>
          </w:p>
        </w:tc>
        <w:tc>
          <w:tcPr>
            <w:tcW w:type="dxa" w:w="1550"/>
            <w:shd w:fill="F2F2F2" w:val="clear"/>
            <w:tcMar>
              <w:top w:type="dxa" w:w="80"/>
              <w:left w:type="dxa" w:w="100"/>
              <w:bottom w:type="dxa" w:w="80"/>
              <w:right w:type="dxa" w:w="100"/>
            </w:tcMar>
          </w:tcPr>
          <w:p>
            <w:r>
              <w:rPr>
                <w:b w:val="false"/>
                <w:bCs w:val="false"/>
                <w:color w:val="000000"/>
                <w:sz w:val="20"/>
                <w:szCs w:val="20"/>
              </w:rPr>
              <w:t xml:space="preserve">25%</w:t>
            </w:r>
          </w:p>
        </w:tc>
        <w:tc>
          <w:tcPr>
            <w:tcW w:type="dxa" w:w="4400"/>
            <w:shd w:fill="F2F2F2" w:val="clear"/>
            <w:tcMar>
              <w:top w:type="dxa" w:w="80"/>
              <w:left w:type="dxa" w:w="100"/>
              <w:bottom w:type="dxa" w:w="80"/>
              <w:right w:type="dxa" w:w="100"/>
            </w:tcMar>
          </w:tcPr>
          <w:p>
            <w:r>
              <w:rPr>
                <w:b w:val="false"/>
                <w:bCs w:val="false"/>
                <w:color w:val="000000"/>
                <w:sz w:val="20"/>
                <w:szCs w:val="20"/>
              </w:rPr>
              <w:t xml:space="preserve">Days since last phishing campaign OR course assignment (either qualifies). &lt;15 = green, 15–30 = yellow, &gt;30 = red.</w:t>
            </w:r>
          </w:p>
        </w:tc>
      </w:tr>
      <w:tr>
        <w:tc>
          <w:tcPr>
            <w:tcW w:type="dxa" w:w="2000"/>
            <w:tcMar>
              <w:top w:type="dxa" w:w="80"/>
              <w:left w:type="dxa" w:w="100"/>
              <w:bottom w:type="dxa" w:w="80"/>
              <w:right w:type="dxa" w:w="100"/>
            </w:tcMar>
          </w:tcPr>
          <w:p>
            <w:r>
              <w:rPr>
                <w:b w:val="false"/>
                <w:bCs w:val="false"/>
                <w:color w:val="000000"/>
                <w:sz w:val="20"/>
                <w:szCs w:val="20"/>
              </w:rPr>
              <w:t xml:space="preserve">CSAT</w:t>
            </w:r>
          </w:p>
        </w:tc>
        <w:tc>
          <w:tcPr>
            <w:tcW w:type="dxa" w:w="1550"/>
            <w:tcMar>
              <w:top w:type="dxa" w:w="80"/>
              <w:left w:type="dxa" w:w="100"/>
              <w:bottom w:type="dxa" w:w="80"/>
              <w:right w:type="dxa" w:w="100"/>
            </w:tcMar>
          </w:tcPr>
          <w:p>
            <w:r>
              <w:rPr>
                <w:b w:val="false"/>
                <w:bCs w:val="false"/>
                <w:color w:val="000000"/>
                <w:sz w:val="20"/>
                <w:szCs w:val="20"/>
              </w:rPr>
              <w:t xml:space="preserve">20%</w:t>
            </w:r>
          </w:p>
        </w:tc>
        <w:tc>
          <w:tcPr>
            <w:tcW w:type="dxa" w:w="1550"/>
            <w:tcMar>
              <w:top w:type="dxa" w:w="80"/>
              <w:left w:type="dxa" w:w="100"/>
              <w:bottom w:type="dxa" w:w="80"/>
              <w:right w:type="dxa" w:w="100"/>
            </w:tcMar>
          </w:tcPr>
          <w:p>
            <w:r>
              <w:rPr>
                <w:b w:val="false"/>
                <w:bCs w:val="false"/>
                <w:color w:val="000000"/>
                <w:sz w:val="20"/>
                <w:szCs w:val="20"/>
              </w:rPr>
              <w:t xml:space="preserve">25%</w:t>
            </w:r>
          </w:p>
        </w:tc>
        <w:tc>
          <w:tcPr>
            <w:tcW w:type="dxa" w:w="4400"/>
            <w:tcMar>
              <w:top w:type="dxa" w:w="80"/>
              <w:left w:type="dxa" w:w="100"/>
              <w:bottom w:type="dxa" w:w="80"/>
              <w:right w:type="dxa" w:w="100"/>
            </w:tcMar>
          </w:tcPr>
          <w:p>
            <w:r>
              <w:rPr>
                <w:b w:val="false"/>
                <w:bCs w:val="false"/>
                <w:color w:val="000000"/>
                <w:sz w:val="20"/>
                <w:szCs w:val="20"/>
              </w:rPr>
              <w:t xml:space="preserve">Manual 1–5 rating (CSM/ACM); automatable later. 4–5 = green, 3 = yellow, 1–2 = red.</w:t>
            </w:r>
          </w:p>
        </w:tc>
      </w:tr>
      <w:tr>
        <w:tc>
          <w:tcPr>
            <w:tcW w:type="dxa" w:w="2000"/>
            <w:shd w:fill="F2F2F2" w:val="clear"/>
            <w:tcMar>
              <w:top w:type="dxa" w:w="80"/>
              <w:left w:type="dxa" w:w="100"/>
              <w:bottom w:type="dxa" w:w="80"/>
              <w:right w:type="dxa" w:w="100"/>
            </w:tcMar>
          </w:tcPr>
          <w:p>
            <w:r>
              <w:rPr>
                <w:b w:val="false"/>
                <w:bCs w:val="false"/>
                <w:color w:val="000000"/>
                <w:sz w:val="20"/>
                <w:szCs w:val="20"/>
              </w:rPr>
              <w:t xml:space="preserve">General Contact</w:t>
            </w:r>
          </w:p>
        </w:tc>
        <w:tc>
          <w:tcPr>
            <w:tcW w:type="dxa" w:w="1550"/>
            <w:shd w:fill="F2F2F2" w:val="clear"/>
            <w:tcMar>
              <w:top w:type="dxa" w:w="80"/>
              <w:left w:type="dxa" w:w="100"/>
              <w:bottom w:type="dxa" w:w="80"/>
              <w:right w:type="dxa" w:w="100"/>
            </w:tcMar>
          </w:tcPr>
          <w:p>
            <w:r>
              <w:rPr>
                <w:b w:val="false"/>
                <w:bCs w:val="false"/>
                <w:color w:val="000000"/>
                <w:sz w:val="20"/>
                <w:szCs w:val="20"/>
              </w:rPr>
              <w:t xml:space="preserve">N/A</w:t>
            </w:r>
          </w:p>
        </w:tc>
        <w:tc>
          <w:tcPr>
            <w:tcW w:type="dxa" w:w="1550"/>
            <w:shd w:fill="F2F2F2" w:val="clear"/>
            <w:tcMar>
              <w:top w:type="dxa" w:w="80"/>
              <w:left w:type="dxa" w:w="100"/>
              <w:bottom w:type="dxa" w:w="80"/>
              <w:right w:type="dxa" w:w="100"/>
            </w:tcMar>
          </w:tcPr>
          <w:p>
            <w:r>
              <w:rPr>
                <w:b w:val="false"/>
                <w:bCs w:val="false"/>
                <w:color w:val="000000"/>
                <w:sz w:val="20"/>
                <w:szCs w:val="20"/>
              </w:rPr>
              <w:t xml:space="preserve">25%</w:t>
            </w:r>
          </w:p>
        </w:tc>
        <w:tc>
          <w:tcPr>
            <w:tcW w:type="dxa" w:w="4400"/>
            <w:shd w:fill="F2F2F2" w:val="clear"/>
            <w:tcMar>
              <w:top w:type="dxa" w:w="80"/>
              <w:left w:type="dxa" w:w="100"/>
              <w:bottom w:type="dxa" w:w="80"/>
              <w:right w:type="dxa" w:w="100"/>
            </w:tcMar>
          </w:tcPr>
          <w:p>
            <w:r>
              <w:rPr>
                <w:b w:val="false"/>
                <w:bCs w:val="false"/>
                <w:color w:val="000000"/>
                <w:sz w:val="20"/>
                <w:szCs w:val="20"/>
              </w:rPr>
              <w:t xml:space="preserve">Days since last logged activity of any type. Same thresholds as Adoption.</w:t>
            </w:r>
          </w:p>
        </w:tc>
      </w:tr>
      <w:tr>
        <w:tc>
          <w:tcPr>
            <w:tcW w:type="dxa" w:w="2000"/>
            <w:tcMar>
              <w:top w:type="dxa" w:w="80"/>
              <w:left w:type="dxa" w:w="100"/>
              <w:bottom w:type="dxa" w:w="80"/>
              <w:right w:type="dxa" w:w="100"/>
            </w:tcMar>
          </w:tcPr>
          <w:p>
            <w:r>
              <w:rPr>
                <w:b w:val="false"/>
                <w:bCs w:val="false"/>
                <w:color w:val="000000"/>
                <w:sz w:val="20"/>
                <w:szCs w:val="20"/>
              </w:rPr>
              <w:t xml:space="preserve">Weekly Contact</w:t>
            </w:r>
          </w:p>
        </w:tc>
        <w:tc>
          <w:tcPr>
            <w:tcW w:type="dxa" w:w="1550"/>
            <w:tcMar>
              <w:top w:type="dxa" w:w="80"/>
              <w:left w:type="dxa" w:w="100"/>
              <w:bottom w:type="dxa" w:w="80"/>
              <w:right w:type="dxa" w:w="100"/>
            </w:tcMar>
          </w:tcPr>
          <w:p>
            <w:r>
              <w:rPr>
                <w:b w:val="false"/>
                <w:bCs w:val="false"/>
                <w:color w:val="000000"/>
                <w:sz w:val="20"/>
                <w:szCs w:val="20"/>
              </w:rPr>
              <w:t xml:space="preserve">20%</w:t>
            </w:r>
          </w:p>
        </w:tc>
        <w:tc>
          <w:tcPr>
            <w:tcW w:type="dxa" w:w="1550"/>
            <w:tcMar>
              <w:top w:type="dxa" w:w="80"/>
              <w:left w:type="dxa" w:w="100"/>
              <w:bottom w:type="dxa" w:w="80"/>
              <w:right w:type="dxa" w:w="100"/>
            </w:tcMar>
          </w:tcPr>
          <w:p>
            <w:r>
              <w:rPr>
                <w:b w:val="false"/>
                <w:bCs w:val="false"/>
                <w:color w:val="000000"/>
                <w:sz w:val="20"/>
                <w:szCs w:val="20"/>
              </w:rPr>
              <w:t xml:space="preserve">N/A</w:t>
            </w:r>
          </w:p>
        </w:tc>
        <w:tc>
          <w:tcPr>
            <w:tcW w:type="dxa" w:w="4400"/>
            <w:tcMar>
              <w:top w:type="dxa" w:w="80"/>
              <w:left w:type="dxa" w:w="100"/>
              <w:bottom w:type="dxa" w:w="80"/>
              <w:right w:type="dxa" w:w="100"/>
            </w:tcMar>
          </w:tcPr>
          <w:p>
            <w:r>
              <w:rPr>
                <w:b w:val="false"/>
                <w:bCs w:val="false"/>
                <w:color w:val="000000"/>
                <w:sz w:val="20"/>
                <w:szCs w:val="20"/>
              </w:rPr>
              <w:t xml:space="preserve">Binary: any Call/Email activity within 7 days (Meetings excluded). Green/Red only.</w:t>
            </w:r>
          </w:p>
        </w:tc>
      </w:tr>
      <w:tr>
        <w:tc>
          <w:tcPr>
            <w:tcW w:type="dxa" w:w="2000"/>
            <w:shd w:fill="F2F2F2" w:val="clear"/>
            <w:tcMar>
              <w:top w:type="dxa" w:w="80"/>
              <w:left w:type="dxa" w:w="100"/>
              <w:bottom w:type="dxa" w:w="80"/>
              <w:right w:type="dxa" w:w="100"/>
            </w:tcMar>
          </w:tcPr>
          <w:p>
            <w:r>
              <w:rPr>
                <w:b w:val="false"/>
                <w:bCs w:val="false"/>
                <w:color w:val="000000"/>
                <w:sz w:val="20"/>
                <w:szCs w:val="20"/>
              </w:rPr>
              <w:t xml:space="preserve">Meeting Attendance</w:t>
            </w:r>
          </w:p>
        </w:tc>
        <w:tc>
          <w:tcPr>
            <w:tcW w:type="dxa" w:w="1550"/>
            <w:shd w:fill="F2F2F2" w:val="clear"/>
            <w:tcMar>
              <w:top w:type="dxa" w:w="80"/>
              <w:left w:type="dxa" w:w="100"/>
              <w:bottom w:type="dxa" w:w="80"/>
              <w:right w:type="dxa" w:w="100"/>
            </w:tcMar>
          </w:tcPr>
          <w:p>
            <w:r>
              <w:rPr>
                <w:b w:val="false"/>
                <w:bCs w:val="false"/>
                <w:color w:val="000000"/>
                <w:sz w:val="20"/>
                <w:szCs w:val="20"/>
              </w:rPr>
              <w:t xml:space="preserve">20%</w:t>
            </w:r>
          </w:p>
        </w:tc>
        <w:tc>
          <w:tcPr>
            <w:tcW w:type="dxa" w:w="1550"/>
            <w:shd w:fill="F2F2F2" w:val="clear"/>
            <w:tcMar>
              <w:top w:type="dxa" w:w="80"/>
              <w:left w:type="dxa" w:w="100"/>
              <w:bottom w:type="dxa" w:w="80"/>
              <w:right w:type="dxa" w:w="100"/>
            </w:tcMar>
          </w:tcPr>
          <w:p>
            <w:r>
              <w:rPr>
                <w:b w:val="false"/>
                <w:bCs w:val="false"/>
                <w:color w:val="000000"/>
                <w:sz w:val="20"/>
                <w:szCs w:val="20"/>
              </w:rPr>
              <w:t xml:space="preserve">N/A</w:t>
            </w:r>
          </w:p>
        </w:tc>
        <w:tc>
          <w:tcPr>
            <w:tcW w:type="dxa" w:w="4400"/>
            <w:shd w:fill="F2F2F2" w:val="clear"/>
            <w:tcMar>
              <w:top w:type="dxa" w:w="80"/>
              <w:left w:type="dxa" w:w="100"/>
              <w:bottom w:type="dxa" w:w="80"/>
              <w:right w:type="dxa" w:w="100"/>
            </w:tcMar>
          </w:tcPr>
          <w:p>
            <w:r>
              <w:rPr>
                <w:b w:val="false"/>
                <w:bCs w:val="false"/>
                <w:color w:val="000000"/>
                <w:sz w:val="20"/>
                <w:szCs w:val="20"/>
              </w:rPr>
              <w:t xml:space="preserve">% of required meeting frequency met in the last 30 days. 100% = green, 50–99% = yellow, &lt;50% = red.</w:t>
            </w:r>
          </w:p>
        </w:tc>
      </w:tr>
    </w:tbl>
    <w:p>
      <w:pPr>
        <w:spacing w:after="140"/>
      </w:pPr>
      <w:r>
        <w:rPr>
          <w:sz w:val="21"/>
          <w:szCs w:val="21"/>
        </w:rPr>
        <w:t xml:space="preserve"/>
      </w:r>
    </w:p>
    <w:p>
      <w:pPr>
        <w:pStyle w:val="ListParagraph"/>
        <w:numPr>
          <w:ilvl w:val="0"/>
          <w:numId w:val="3"/>
        </w:numPr>
        <w:spacing w:after="60"/>
      </w:pPr>
      <w:r>
        <w:rPr>
          <w:sz w:val="21"/>
          <w:szCs w:val="21"/>
        </w:rPr>
        <w:t xml:space="preserve">Managed Service accounts shall use 5 factors at 20% weight each; non-Managed accounts shall use 4 factors at 25% weight each.</w:t>
      </w:r>
    </w:p>
    <w:p>
      <w:pPr>
        <w:pStyle w:val="ListParagraph"/>
        <w:numPr>
          <w:ilvl w:val="0"/>
          <w:numId w:val="3"/>
        </w:numPr>
        <w:spacing w:after="60"/>
      </w:pPr>
      <w:r>
        <w:rPr>
          <w:sz w:val="21"/>
          <w:szCs w:val="21"/>
        </w:rPr>
        <w:t xml:space="preserve">Activities logged as "Meeting" shall be excluded from the Weekly Contact factor and counted only under Meeting Attendance, to prevent double-counting a single event.</w:t>
      </w:r>
    </w:p>
    <w:p>
      <w:pPr>
        <w:pStyle w:val="ListParagraph"/>
        <w:numPr>
          <w:ilvl w:val="0"/>
          <w:numId w:val="3"/>
        </w:numPr>
        <w:spacing w:after="60"/>
      </w:pPr>
      <w:r>
        <w:rPr>
          <w:sz w:val="21"/>
          <w:szCs w:val="21"/>
        </w:rPr>
        <w:t xml:space="preserve">Colour values shall convert to numeric scores as: Green = 100, Yellow = 50, Red = 0. The Final Score is the weighted sum, mapped to: 80–100 = Healthy (green), 50–79 = Watch (yellow), below 50 = At Risk (red).</w:t>
      </w:r>
    </w:p>
    <w:p>
      <w:pPr>
        <w:pStyle w:val="ListParagraph"/>
        <w:numPr>
          <w:ilvl w:val="0"/>
          <w:numId w:val="3"/>
        </w:numPr>
        <w:spacing w:after="60"/>
      </w:pPr>
      <w:r>
        <w:rPr>
          <w:sz w:val="21"/>
          <w:szCs w:val="21"/>
        </w:rPr>
        <w:t xml:space="preserve">The Health Score shall recalculate immediately whenever a contributing event is logged (event-driven), and additionally once daily for all accounts, to capture natural time-based decay in day-count-based factors.</w:t>
      </w:r>
    </w:p>
    <w:p>
      <w:pPr>
        <w:pStyle w:val="ListParagraph"/>
        <w:numPr>
          <w:ilvl w:val="0"/>
          <w:numId w:val="3"/>
        </w:numPr>
        <w:spacing w:after="60"/>
      </w:pPr>
      <w:r>
        <w:rPr>
          <w:sz w:val="21"/>
          <w:szCs w:val="21"/>
        </w:rPr>
        <w:t xml:space="preserve">Every recalculation, regardless of trigger, shall be persisted to a Health Score History log (account, date, score, colour, per-factor breakdown), enabling trend analysis.</w:t>
      </w:r>
    </w:p>
    <w:p>
      <w:pPr>
        <w:pStyle w:val="ListParagraph"/>
        <w:numPr>
          <w:ilvl w:val="0"/>
          <w:numId w:val="3"/>
        </w:numPr>
        <w:spacing w:after="60"/>
      </w:pPr>
      <w:r>
        <w:rPr>
          <w:sz w:val="21"/>
          <w:szCs w:val="21"/>
        </w:rPr>
        <w:t xml:space="preserve">An authorised user may manually override an account's computed Health Status, with a mandatory reason. The override shall be automatically cleared upon any subsequent change to the computed score, however small.</w:t>
      </w:r>
    </w:p>
    <w:p>
      <w:pPr>
        <w:pStyle w:val="ListParagraph"/>
        <w:numPr>
          <w:ilvl w:val="0"/>
          <w:numId w:val="3"/>
        </w:numPr>
        <w:spacing w:after="60"/>
      </w:pPr>
      <w:r>
        <w:rPr>
          <w:sz w:val="21"/>
          <w:szCs w:val="21"/>
        </w:rPr>
        <w:t xml:space="preserve">Health Score calculation shall be entirely independent of the account's Class (VIP/A/B/C/D) tier; Class shall be used only for dashboard prioritisation.</w:t>
      </w:r>
    </w:p>
    <w:p>
      <w:pPr>
        <w:pStyle w:val="Heading2"/>
        <w:spacing w:after="120" w:before="260"/>
      </w:pPr>
      <w:r>
        <w:rPr>
          <w:b/>
          <w:bCs/>
          <w:color w:val="2E74B5"/>
          <w:sz w:val="24"/>
          <w:szCs w:val="24"/>
        </w:rPr>
        <w:t xml:space="preserve">6.4 Stakeholder (Contact) Management</w:t>
      </w:r>
    </w:p>
    <w:p>
      <w:pPr>
        <w:pStyle w:val="ListParagraph"/>
        <w:numPr>
          <w:ilvl w:val="0"/>
          <w:numId w:val="3"/>
        </w:numPr>
        <w:spacing w:after="60"/>
      </w:pPr>
      <w:r>
        <w:rPr>
          <w:sz w:val="21"/>
          <w:szCs w:val="21"/>
        </w:rPr>
        <w:t xml:space="preserve">The system shall support multiple Contacts per Account, each with: Name, Phone, Email, Title/Role, Influence Level (High/Medium/Low), Interest Level (High/Medium/Low), Communication Channels (multi-select), and a single Preferred Channel.</w:t>
      </w:r>
    </w:p>
    <w:p>
      <w:pPr>
        <w:pStyle w:val="ListParagraph"/>
        <w:numPr>
          <w:ilvl w:val="0"/>
          <w:numId w:val="3"/>
        </w:numPr>
        <w:spacing w:after="60"/>
      </w:pPr>
      <w:r>
        <w:rPr>
          <w:sz w:val="21"/>
          <w:szCs w:val="21"/>
        </w:rPr>
        <w:t xml:space="preserve">The system shall visually display each account's contacts on a Power/Interest grid (Manage Closely, Keep Satisfied, Keep Informed, Monitor).</w:t>
      </w:r>
    </w:p>
    <w:p>
      <w:pPr>
        <w:pStyle w:val="ListParagraph"/>
        <w:numPr>
          <w:ilvl w:val="0"/>
          <w:numId w:val="3"/>
        </w:numPr>
        <w:spacing w:after="60"/>
      </w:pPr>
      <w:r>
        <w:rPr>
          <w:sz w:val="21"/>
          <w:szCs w:val="21"/>
        </w:rPr>
        <w:t xml:space="preserve">Each Contact profile shall display its full linked Activity/Task history and an automatically derived "last contact" date, to surface neglected stakeholders — particularly high-influence ones.</w:t>
      </w:r>
    </w:p>
    <w:p>
      <w:pPr>
        <w:pStyle w:val="ListParagraph"/>
        <w:numPr>
          <w:ilvl w:val="0"/>
          <w:numId w:val="3"/>
        </w:numPr>
        <w:spacing w:after="60"/>
      </w:pPr>
      <w:r>
        <w:rPr>
          <w:sz w:val="21"/>
          <w:szCs w:val="21"/>
        </w:rPr>
        <w:t xml:space="preserve">Linking a Contact to an Activity or Task shall be optional but visually prominent in the data-entry form to encourage consistent use.</w:t>
      </w:r>
    </w:p>
    <w:p>
      <w:pPr>
        <w:pStyle w:val="Heading2"/>
        <w:spacing w:after="120" w:before="260"/>
      </w:pPr>
      <w:r>
        <w:rPr>
          <w:b/>
          <w:bCs/>
          <w:color w:val="2E74B5"/>
          <w:sz w:val="24"/>
          <w:szCs w:val="24"/>
        </w:rPr>
        <w:t xml:space="preserve">6.5 Activity Logging</w:t>
      </w:r>
    </w:p>
    <w:p>
      <w:pPr>
        <w:pStyle w:val="ListParagraph"/>
        <w:numPr>
          <w:ilvl w:val="0"/>
          <w:numId w:val="3"/>
        </w:numPr>
        <w:spacing w:after="60"/>
      </w:pPr>
      <w:r>
        <w:rPr>
          <w:sz w:val="21"/>
          <w:szCs w:val="21"/>
        </w:rPr>
        <w:t xml:space="preserve">Every Activity record shall capture: Account (required), Contact (optional), Type (Call/Email/Meeting/etc. — mandatory classification), free-text notes, and date.</w:t>
      </w:r>
    </w:p>
    <w:p>
      <w:pPr>
        <w:pStyle w:val="ListParagraph"/>
        <w:numPr>
          <w:ilvl w:val="0"/>
          <w:numId w:val="3"/>
        </w:numPr>
        <w:spacing w:after="60"/>
      </w:pPr>
      <w:r>
        <w:rPr>
          <w:sz w:val="21"/>
          <w:szCs w:val="21"/>
        </w:rPr>
        <w:t xml:space="preserve">Activity Type shall be a controlled field, as the Health Score engine depends on precise filtering by type.</w:t>
      </w:r>
    </w:p>
    <w:p>
      <w:pPr>
        <w:pStyle w:val="Heading2"/>
        <w:spacing w:after="120" w:before="260"/>
      </w:pPr>
      <w:r>
        <w:rPr>
          <w:b/>
          <w:bCs/>
          <w:color w:val="2E74B5"/>
          <w:sz w:val="24"/>
          <w:szCs w:val="24"/>
        </w:rPr>
        <w:t xml:space="preserve">6.6 Task &amp; Reminder Engine</w:t>
      </w:r>
    </w:p>
    <w:p>
      <w:pPr>
        <w:pStyle w:val="ListParagraph"/>
        <w:numPr>
          <w:ilvl w:val="0"/>
          <w:numId w:val="3"/>
        </w:numPr>
        <w:spacing w:after="60"/>
      </w:pPr>
      <w:r>
        <w:rPr>
          <w:sz w:val="21"/>
          <w:szCs w:val="21"/>
        </w:rPr>
        <w:t xml:space="preserve">The system shall support four task types: Auto-Renewal, Auto-Quarterly-Meeting, Manual-Next-Action, and Auto-Health-Alert.</w:t>
      </w:r>
    </w:p>
    <w:p>
      <w:pPr>
        <w:pStyle w:val="ListParagraph"/>
        <w:numPr>
          <w:ilvl w:val="0"/>
          <w:numId w:val="3"/>
        </w:numPr>
        <w:spacing w:after="60"/>
      </w:pPr>
      <w:r>
        <w:rPr>
          <w:sz w:val="21"/>
          <w:szCs w:val="21"/>
        </w:rPr>
        <w:t xml:space="preserve">Auto-Renewal tasks shall generate 30/60/90 days before contract end date; Auto-Quarterly-Meeting tasks shall generate from the scheduled meeting date.</w:t>
      </w:r>
    </w:p>
    <w:p>
      <w:pPr>
        <w:pStyle w:val="ListParagraph"/>
        <w:numPr>
          <w:ilvl w:val="0"/>
          <w:numId w:val="3"/>
        </w:numPr>
        <w:spacing w:after="60"/>
      </w:pPr>
      <w:r>
        <w:rPr>
          <w:sz w:val="21"/>
          <w:szCs w:val="21"/>
        </w:rPr>
        <w:t xml:space="preserve">Auto-Health-Alert tasks shall generate immediately when an account's status turns red, with duplicate suppression: only one open alert per account at a time.</w:t>
      </w:r>
    </w:p>
    <w:p>
      <w:pPr>
        <w:pStyle w:val="ListParagraph"/>
        <w:numPr>
          <w:ilvl w:val="0"/>
          <w:numId w:val="3"/>
        </w:numPr>
        <w:spacing w:after="60"/>
      </w:pPr>
      <w:r>
        <w:rPr>
          <w:sz w:val="21"/>
          <w:szCs w:val="21"/>
        </w:rPr>
        <w:t xml:space="preserve">A single account may have multiple open tasks simultaneously.</w:t>
      </w:r>
    </w:p>
    <w:p>
      <w:pPr>
        <w:pStyle w:val="ListParagraph"/>
        <w:numPr>
          <w:ilvl w:val="0"/>
          <w:numId w:val="3"/>
        </w:numPr>
        <w:spacing w:after="60"/>
      </w:pPr>
      <w:r>
        <w:rPr>
          <w:sz w:val="21"/>
          <w:szCs w:val="21"/>
        </w:rPr>
        <w:t xml:space="preserve">Tasks shall route as follows: Auto-Health-Alert → CSM only; Auto-Renewal and Auto-Quarterly-Meeting → CSM and ACM jointly; Manual-Next-Action → its creator by default (or the account's primary CSM, if created by a CSM Senior on an unassigned account); any task on a POC-stage account → CSM and ACM jointly, regardless of type.</w:t>
      </w:r>
    </w:p>
    <w:p>
      <w:pPr>
        <w:pStyle w:val="ListParagraph"/>
        <w:numPr>
          <w:ilvl w:val="0"/>
          <w:numId w:val="3"/>
        </w:numPr>
        <w:spacing w:after="60"/>
      </w:pPr>
      <w:r>
        <w:rPr>
          <w:sz w:val="21"/>
          <w:szCs w:val="21"/>
        </w:rPr>
        <w:t xml:space="preserve">Each task shall carry a Category (Internal / Client-Facing / Partner-Facing) and an empty Jira Ticket ID field reserved for future integration; only Internal-category tasks shall be eligible for future Jira ticket creation.</w:t>
      </w:r>
    </w:p>
    <w:p>
      <w:pPr>
        <w:pStyle w:val="ListParagraph"/>
        <w:numPr>
          <w:ilvl w:val="0"/>
          <w:numId w:val="3"/>
        </w:numPr>
        <w:spacing w:after="60"/>
      </w:pPr>
      <w:r>
        <w:rPr>
          <w:sz w:val="21"/>
          <w:szCs w:val="21"/>
        </w:rPr>
        <w:t xml:space="preserve">Users with edit access shall be able to create, edit, and delete tasks.</w:t>
      </w:r>
    </w:p>
    <w:p>
      <w:pPr>
        <w:pStyle w:val="ListParagraph"/>
        <w:numPr>
          <w:ilvl w:val="0"/>
          <w:numId w:val="3"/>
        </w:numPr>
        <w:spacing w:after="60"/>
      </w:pPr>
      <w:r>
        <w:rPr>
          <w:sz w:val="21"/>
          <w:szCs w:val="21"/>
        </w:rPr>
        <w:t xml:space="preserve">Notifications shall be delivered both in-platform and via email for every due task.</w:t>
      </w:r>
    </w:p>
    <w:p>
      <w:pPr>
        <w:pStyle w:val="Heading2"/>
        <w:spacing w:after="120" w:before="260"/>
      </w:pPr>
      <w:r>
        <w:rPr>
          <w:b/>
          <w:bCs/>
          <w:color w:val="2E74B5"/>
          <w:sz w:val="24"/>
          <w:szCs w:val="24"/>
        </w:rPr>
        <w:t xml:space="preserve">6.7 Dashboard &amp; Reporting</w:t>
      </w:r>
    </w:p>
    <w:p>
      <w:pPr>
        <w:pStyle w:val="ListParagraph"/>
        <w:numPr>
          <w:ilvl w:val="0"/>
          <w:numId w:val="3"/>
        </w:numPr>
        <w:spacing w:after="60"/>
      </w:pPr>
      <w:r>
        <w:rPr>
          <w:sz w:val="21"/>
          <w:szCs w:val="21"/>
        </w:rPr>
        <w:t xml:space="preserve">The system shall provide an aggregated analytics dashboard covering: total accounts, Class distribution, Health Status distribution, quarter-filterable renewals with client names, Managed Service counts, country distribution, total user counts, Cloud vs. On-prem split, review counts (G2/Gartner), Lifecycle Stage distribution, an Events/Content trend, and overdue tasks by owner.</w:t>
      </w:r>
    </w:p>
    <w:p>
      <w:pPr>
        <w:pStyle w:val="ListParagraph"/>
        <w:numPr>
          <w:ilvl w:val="0"/>
          <w:numId w:val="3"/>
        </w:numPr>
        <w:spacing w:after="60"/>
      </w:pPr>
      <w:r>
        <w:rPr>
          <w:sz w:val="21"/>
          <w:szCs w:val="21"/>
        </w:rPr>
        <w:t xml:space="preserve">A single global filter (Country / Class / Health Status) shall apply across all dashboard cards simultaneously.</w:t>
      </w:r>
    </w:p>
    <w:p>
      <w:pPr>
        <w:pStyle w:val="ListParagraph"/>
        <w:numPr>
          <w:ilvl w:val="0"/>
          <w:numId w:val="3"/>
        </w:numPr>
        <w:spacing w:after="60"/>
      </w:pPr>
      <w:r>
        <w:rPr>
          <w:sz w:val="21"/>
          <w:szCs w:val="21"/>
        </w:rPr>
        <w:t xml:space="preserve">The dashboard shall render differently per role: ACM users shall not see the Health Status card, and their Overdue Tasks card shall be filtered to Renewal-type tasks only; CSM and Manager users shall see the full dashboard.</w:t>
      </w:r>
    </w:p>
    <w:p>
      <w:pPr>
        <w:pStyle w:val="Heading2"/>
        <w:spacing w:after="120" w:before="260"/>
      </w:pPr>
      <w:r>
        <w:rPr>
          <w:b/>
          <w:bCs/>
          <w:color w:val="2E74B5"/>
          <w:sz w:val="24"/>
          <w:szCs w:val="24"/>
        </w:rPr>
        <w:t xml:space="preserve">6.8 Search</w:t>
      </w:r>
    </w:p>
    <w:p>
      <w:pPr>
        <w:pStyle w:val="ListParagraph"/>
        <w:numPr>
          <w:ilvl w:val="0"/>
          <w:numId w:val="3"/>
        </w:numPr>
        <w:spacing w:after="60"/>
      </w:pPr>
      <w:r>
        <w:rPr>
          <w:sz w:val="21"/>
          <w:szCs w:val="21"/>
        </w:rPr>
        <w:t xml:space="preserve">A persistent, global search control shall be available on every screen, allowing lookup of any account by Client Name or Client Code.</w:t>
      </w:r>
    </w:p>
    <w:p>
      <w:pPr>
        <w:pStyle w:val="Heading2"/>
        <w:spacing w:after="120" w:before="260"/>
      </w:pPr>
      <w:r>
        <w:rPr>
          <w:b/>
          <w:bCs/>
          <w:color w:val="2E74B5"/>
          <w:sz w:val="24"/>
          <w:szCs w:val="24"/>
        </w:rPr>
        <w:t xml:space="preserve">6.9 Data Import</w:t>
      </w:r>
    </w:p>
    <w:p>
      <w:pPr>
        <w:pStyle w:val="ListParagraph"/>
        <w:numPr>
          <w:ilvl w:val="0"/>
          <w:numId w:val="3"/>
        </w:numPr>
        <w:spacing w:after="60"/>
      </w:pPr>
      <w:r>
        <w:rPr>
          <w:sz w:val="21"/>
          <w:szCs w:val="21"/>
        </w:rPr>
        <w:t xml:space="preserve">The platform shall support a one-time Excel import to seed existing account data, including all fields currently tracked in the operational spreadsheet (client identity, licensing, user counts, classification, contract dates, team assignments, engagement metrics, and advocacy data).</w:t>
      </w:r>
    </w:p>
    <w:p>
      <w:pPr>
        <w:pStyle w:val="ListParagraph"/>
        <w:numPr>
          <w:ilvl w:val="0"/>
          <w:numId w:val="3"/>
        </w:numPr>
        <w:spacing w:after="60"/>
      </w:pPr>
      <w:r>
        <w:rPr>
          <w:sz w:val="21"/>
          <w:szCs w:val="21"/>
        </w:rPr>
        <w:t xml:space="preserve">Fields introduced by this platform that do not exist in the current spreadsheet (Lifecycle Stage, Required Meeting Frequency, Contact details) shall be optional at import time and completed progressively from within the platform.</w:t>
      </w:r>
    </w:p>
    <w:p>
      <w:pPr>
        <w:pStyle w:val="ListParagraph"/>
        <w:numPr>
          <w:ilvl w:val="0"/>
          <w:numId w:val="3"/>
        </w:numPr>
        <w:spacing w:after="60"/>
      </w:pPr>
      <w:r>
        <w:rPr>
          <w:sz w:val="21"/>
          <w:szCs w:val="21"/>
        </w:rPr>
        <w:t xml:space="preserve">At import, each account's "last contact" baseline shall be set to the import date itself, rather than inferred from unavailable historical data.</w:t>
      </w:r>
    </w:p>
    <w:p>
      <w:pPr>
        <w:pStyle w:val="Heading1"/>
        <w:spacing w:after="160" w:before="360"/>
      </w:pPr>
      <w:r>
        <w:rPr>
          <w:b/>
          <w:bCs/>
          <w:color w:val="1F3864"/>
          <w:sz w:val="30"/>
          <w:szCs w:val="30"/>
        </w:rPr>
        <w:t xml:space="preserve">7. Functional Requirements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300"/>
        <w:gridCol w:w="1900"/>
      </w:tblGrid>
      <w:tr>
        <w:trPr>
          <w:tblHeader/>
        </w:trPr>
        <w:tc>
          <w:tcPr>
            <w:tcW w:type="dxa" w:w="1200"/>
            <w:shd w:fill="1F3864" w:val="clear"/>
            <w:tcMar>
              <w:top w:type="dxa" w:w="80"/>
              <w:left w:type="dxa" w:w="100"/>
              <w:bottom w:type="dxa" w:w="80"/>
              <w:right w:type="dxa" w:w="100"/>
            </w:tcMar>
          </w:tcPr>
          <w:p>
            <w:r>
              <w:rPr>
                <w:b/>
                <w:bCs/>
                <w:color w:val="FFFFFF"/>
                <w:sz w:val="19"/>
                <w:szCs w:val="19"/>
              </w:rPr>
              <w:t xml:space="preserve">Ref</w:t>
            </w:r>
          </w:p>
        </w:tc>
        <w:tc>
          <w:tcPr>
            <w:tcW w:type="dxa" w:w="6300"/>
            <w:shd w:fill="1F3864" w:val="clear"/>
            <w:tcMar>
              <w:top w:type="dxa" w:w="80"/>
              <w:left w:type="dxa" w:w="100"/>
              <w:bottom w:type="dxa" w:w="80"/>
              <w:right w:type="dxa" w:w="100"/>
            </w:tcMar>
          </w:tcPr>
          <w:p>
            <w:r>
              <w:rPr>
                <w:b/>
                <w:bCs/>
                <w:color w:val="FFFFFF"/>
                <w:sz w:val="19"/>
                <w:szCs w:val="19"/>
              </w:rPr>
              <w:t xml:space="preserve">Requirement</w:t>
            </w:r>
          </w:p>
        </w:tc>
        <w:tc>
          <w:tcPr>
            <w:tcW w:type="dxa" w:w="1900"/>
            <w:shd w:fill="1F3864" w:val="clear"/>
            <w:tcMar>
              <w:top w:type="dxa" w:w="80"/>
              <w:left w:type="dxa" w:w="100"/>
              <w:bottom w:type="dxa" w:w="80"/>
              <w:right w:type="dxa" w:w="100"/>
            </w:tcMar>
          </w:tcPr>
          <w:p>
            <w:r>
              <w:rPr>
                <w:b/>
                <w:bCs/>
                <w:color w:val="FFFFFF"/>
                <w:sz w:val="19"/>
                <w:szCs w:val="19"/>
              </w:rPr>
              <w:t xml:space="preserve">Priority</w:t>
            </w:r>
          </w:p>
        </w:tc>
      </w:tr>
      <w:tr>
        <w:tc>
          <w:tcPr>
            <w:tcW w:type="dxa" w:w="1200"/>
            <w:tcMar>
              <w:top w:type="dxa" w:w="80"/>
              <w:left w:type="dxa" w:w="100"/>
              <w:bottom w:type="dxa" w:w="80"/>
              <w:right w:type="dxa" w:w="100"/>
            </w:tcMar>
          </w:tcPr>
          <w:p>
            <w:r>
              <w:rPr>
                <w:b w:val="false"/>
                <w:bCs w:val="false"/>
                <w:color w:val="000000"/>
                <w:sz w:val="20"/>
                <w:szCs w:val="20"/>
              </w:rPr>
              <w:t xml:space="preserve">FR-01</w:t>
            </w:r>
          </w:p>
        </w:tc>
        <w:tc>
          <w:tcPr>
            <w:tcW w:type="dxa" w:w="6300"/>
            <w:tcMar>
              <w:top w:type="dxa" w:w="80"/>
              <w:left w:type="dxa" w:w="100"/>
              <w:bottom w:type="dxa" w:w="80"/>
              <w:right w:type="dxa" w:w="100"/>
            </w:tcMar>
          </w:tcPr>
          <w:p>
            <w:r>
              <w:rPr>
                <w:b w:val="false"/>
                <w:bCs w:val="false"/>
                <w:color w:val="000000"/>
                <w:sz w:val="20"/>
                <w:szCs w:val="20"/>
              </w:rPr>
              <w:t xml:space="preserve">Create/edit/delete Account records within the platform</w:t>
            </w:r>
          </w:p>
        </w:tc>
        <w:tc>
          <w:tcPr>
            <w:tcW w:type="dxa" w:w="1900"/>
            <w:tcMar>
              <w:top w:type="dxa" w:w="80"/>
              <w:left w:type="dxa" w:w="100"/>
              <w:bottom w:type="dxa" w:w="80"/>
              <w:right w:type="dxa" w:w="100"/>
            </w:tcMar>
          </w:tcPr>
          <w:p>
            <w:r>
              <w:rPr>
                <w:b w:val="false"/>
                <w:bCs w:val="false"/>
                <w:color w:val="000000"/>
                <w:sz w:val="20"/>
                <w:szCs w:val="20"/>
              </w:rPr>
              <w:t xml:space="preserve">Must</w:t>
            </w:r>
          </w:p>
        </w:tc>
      </w:tr>
      <w:tr>
        <w:tc>
          <w:tcPr>
            <w:tcW w:type="dxa" w:w="1200"/>
            <w:shd w:fill="F2F2F2" w:val="clear"/>
            <w:tcMar>
              <w:top w:type="dxa" w:w="80"/>
              <w:left w:type="dxa" w:w="100"/>
              <w:bottom w:type="dxa" w:w="80"/>
              <w:right w:type="dxa" w:w="100"/>
            </w:tcMar>
          </w:tcPr>
          <w:p>
            <w:r>
              <w:rPr>
                <w:b w:val="false"/>
                <w:bCs w:val="false"/>
                <w:color w:val="000000"/>
                <w:sz w:val="20"/>
                <w:szCs w:val="20"/>
              </w:rPr>
              <w:t xml:space="preserve">FR-02</w:t>
            </w:r>
          </w:p>
        </w:tc>
        <w:tc>
          <w:tcPr>
            <w:tcW w:type="dxa" w:w="6300"/>
            <w:shd w:fill="F2F2F2" w:val="clear"/>
            <w:tcMar>
              <w:top w:type="dxa" w:w="80"/>
              <w:left w:type="dxa" w:w="100"/>
              <w:bottom w:type="dxa" w:w="80"/>
              <w:right w:type="dxa" w:w="100"/>
            </w:tcMar>
          </w:tcPr>
          <w:p>
            <w:r>
              <w:rPr>
                <w:b w:val="false"/>
                <w:bCs w:val="false"/>
                <w:color w:val="000000"/>
                <w:sz w:val="20"/>
                <w:szCs w:val="20"/>
              </w:rPr>
              <w:t xml:space="preserve">One-time Excel import for initial data seeding</w:t>
            </w:r>
          </w:p>
        </w:tc>
        <w:tc>
          <w:tcPr>
            <w:tcW w:type="dxa" w:w="1900"/>
            <w:shd w:fill="F2F2F2" w:val="clear"/>
            <w:tcMar>
              <w:top w:type="dxa" w:w="80"/>
              <w:left w:type="dxa" w:w="100"/>
              <w:bottom w:type="dxa" w:w="80"/>
              <w:right w:type="dxa" w:w="100"/>
            </w:tcMar>
          </w:tcPr>
          <w:p>
            <w:r>
              <w:rPr>
                <w:b w:val="false"/>
                <w:bCs w:val="false"/>
                <w:color w:val="000000"/>
                <w:sz w:val="20"/>
                <w:szCs w:val="20"/>
              </w:rPr>
              <w:t xml:space="preserve">Must</w:t>
            </w:r>
          </w:p>
        </w:tc>
      </w:tr>
      <w:tr>
        <w:tc>
          <w:tcPr>
            <w:tcW w:type="dxa" w:w="1200"/>
            <w:tcMar>
              <w:top w:type="dxa" w:w="80"/>
              <w:left w:type="dxa" w:w="100"/>
              <w:bottom w:type="dxa" w:w="80"/>
              <w:right w:type="dxa" w:w="100"/>
            </w:tcMar>
          </w:tcPr>
          <w:p>
            <w:r>
              <w:rPr>
                <w:b w:val="false"/>
                <w:bCs w:val="false"/>
                <w:color w:val="000000"/>
                <w:sz w:val="20"/>
                <w:szCs w:val="20"/>
              </w:rPr>
              <w:t xml:space="preserve">FR-03</w:t>
            </w:r>
          </w:p>
        </w:tc>
        <w:tc>
          <w:tcPr>
            <w:tcW w:type="dxa" w:w="6300"/>
            <w:tcMar>
              <w:top w:type="dxa" w:w="80"/>
              <w:left w:type="dxa" w:w="100"/>
              <w:bottom w:type="dxa" w:w="80"/>
              <w:right w:type="dxa" w:w="100"/>
            </w:tcMar>
          </w:tcPr>
          <w:p>
            <w:r>
              <w:rPr>
                <w:b w:val="false"/>
                <w:bCs w:val="false"/>
                <w:color w:val="000000"/>
                <w:sz w:val="20"/>
                <w:szCs w:val="20"/>
              </w:rPr>
              <w:t xml:space="preserve">Automated, weighted, multi-factor Health Score engine</w:t>
            </w:r>
          </w:p>
        </w:tc>
        <w:tc>
          <w:tcPr>
            <w:tcW w:type="dxa" w:w="1900"/>
            <w:tcMar>
              <w:top w:type="dxa" w:w="80"/>
              <w:left w:type="dxa" w:w="100"/>
              <w:bottom w:type="dxa" w:w="80"/>
              <w:right w:type="dxa" w:w="100"/>
            </w:tcMar>
          </w:tcPr>
          <w:p>
            <w:r>
              <w:rPr>
                <w:b w:val="false"/>
                <w:bCs w:val="false"/>
                <w:color w:val="000000"/>
                <w:sz w:val="20"/>
                <w:szCs w:val="20"/>
              </w:rPr>
              <w:t xml:space="preserve">Must</w:t>
            </w:r>
          </w:p>
        </w:tc>
      </w:tr>
      <w:tr>
        <w:tc>
          <w:tcPr>
            <w:tcW w:type="dxa" w:w="1200"/>
            <w:shd w:fill="F2F2F2" w:val="clear"/>
            <w:tcMar>
              <w:top w:type="dxa" w:w="80"/>
              <w:left w:type="dxa" w:w="100"/>
              <w:bottom w:type="dxa" w:w="80"/>
              <w:right w:type="dxa" w:w="100"/>
            </w:tcMar>
          </w:tcPr>
          <w:p>
            <w:r>
              <w:rPr>
                <w:b w:val="false"/>
                <w:bCs w:val="false"/>
                <w:color w:val="000000"/>
                <w:sz w:val="20"/>
                <w:szCs w:val="20"/>
              </w:rPr>
              <w:t xml:space="preserve">FR-04</w:t>
            </w:r>
          </w:p>
        </w:tc>
        <w:tc>
          <w:tcPr>
            <w:tcW w:type="dxa" w:w="6300"/>
            <w:shd w:fill="F2F2F2" w:val="clear"/>
            <w:tcMar>
              <w:top w:type="dxa" w:w="80"/>
              <w:left w:type="dxa" w:w="100"/>
              <w:bottom w:type="dxa" w:w="80"/>
              <w:right w:type="dxa" w:w="100"/>
            </w:tcMar>
          </w:tcPr>
          <w:p>
            <w:r>
              <w:rPr>
                <w:b w:val="false"/>
                <w:bCs w:val="false"/>
                <w:color w:val="000000"/>
                <w:sz w:val="20"/>
                <w:szCs w:val="20"/>
              </w:rPr>
              <w:t xml:space="preserve">Health Score history log for trend tracking</w:t>
            </w:r>
          </w:p>
        </w:tc>
        <w:tc>
          <w:tcPr>
            <w:tcW w:type="dxa" w:w="1900"/>
            <w:shd w:fill="F2F2F2" w:val="clear"/>
            <w:tcMar>
              <w:top w:type="dxa" w:w="80"/>
              <w:left w:type="dxa" w:w="100"/>
              <w:bottom w:type="dxa" w:w="80"/>
              <w:right w:type="dxa" w:w="100"/>
            </w:tcMar>
          </w:tcPr>
          <w:p>
            <w:r>
              <w:rPr>
                <w:b w:val="false"/>
                <w:bCs w:val="false"/>
                <w:color w:val="000000"/>
                <w:sz w:val="20"/>
                <w:szCs w:val="20"/>
              </w:rPr>
              <w:t xml:space="preserve">Must</w:t>
            </w:r>
          </w:p>
        </w:tc>
      </w:tr>
      <w:tr>
        <w:tc>
          <w:tcPr>
            <w:tcW w:type="dxa" w:w="1200"/>
            <w:tcMar>
              <w:top w:type="dxa" w:w="80"/>
              <w:left w:type="dxa" w:w="100"/>
              <w:bottom w:type="dxa" w:w="80"/>
              <w:right w:type="dxa" w:w="100"/>
            </w:tcMar>
          </w:tcPr>
          <w:p>
            <w:r>
              <w:rPr>
                <w:b w:val="false"/>
                <w:bCs w:val="false"/>
                <w:color w:val="000000"/>
                <w:sz w:val="20"/>
                <w:szCs w:val="20"/>
              </w:rPr>
              <w:t xml:space="preserve">FR-05</w:t>
            </w:r>
          </w:p>
        </w:tc>
        <w:tc>
          <w:tcPr>
            <w:tcW w:type="dxa" w:w="6300"/>
            <w:tcMar>
              <w:top w:type="dxa" w:w="80"/>
              <w:left w:type="dxa" w:w="100"/>
              <w:bottom w:type="dxa" w:w="80"/>
              <w:right w:type="dxa" w:w="100"/>
            </w:tcMar>
          </w:tcPr>
          <w:p>
            <w:r>
              <w:rPr>
                <w:b w:val="false"/>
                <w:bCs w:val="false"/>
                <w:color w:val="000000"/>
                <w:sz w:val="20"/>
                <w:szCs w:val="20"/>
              </w:rPr>
              <w:t xml:space="preserve">Manual, auditable Health Status override with auto-clear</w:t>
            </w:r>
          </w:p>
        </w:tc>
        <w:tc>
          <w:tcPr>
            <w:tcW w:type="dxa" w:w="1900"/>
            <w:tcMar>
              <w:top w:type="dxa" w:w="80"/>
              <w:left w:type="dxa" w:w="100"/>
              <w:bottom w:type="dxa" w:w="80"/>
              <w:right w:type="dxa" w:w="100"/>
            </w:tcMar>
          </w:tcPr>
          <w:p>
            <w:r>
              <w:rPr>
                <w:b w:val="false"/>
                <w:bCs w:val="false"/>
                <w:color w:val="000000"/>
                <w:sz w:val="20"/>
                <w:szCs w:val="20"/>
              </w:rPr>
              <w:t xml:space="preserve">Must</w:t>
            </w:r>
          </w:p>
        </w:tc>
      </w:tr>
      <w:tr>
        <w:tc>
          <w:tcPr>
            <w:tcW w:type="dxa" w:w="1200"/>
            <w:shd w:fill="F2F2F2" w:val="clear"/>
            <w:tcMar>
              <w:top w:type="dxa" w:w="80"/>
              <w:left w:type="dxa" w:w="100"/>
              <w:bottom w:type="dxa" w:w="80"/>
              <w:right w:type="dxa" w:w="100"/>
            </w:tcMar>
          </w:tcPr>
          <w:p>
            <w:r>
              <w:rPr>
                <w:b w:val="false"/>
                <w:bCs w:val="false"/>
                <w:color w:val="000000"/>
                <w:sz w:val="20"/>
                <w:szCs w:val="20"/>
              </w:rPr>
              <w:t xml:space="preserve">FR-06</w:t>
            </w:r>
          </w:p>
        </w:tc>
        <w:tc>
          <w:tcPr>
            <w:tcW w:type="dxa" w:w="6300"/>
            <w:shd w:fill="F2F2F2" w:val="clear"/>
            <w:tcMar>
              <w:top w:type="dxa" w:w="80"/>
              <w:left w:type="dxa" w:w="100"/>
              <w:bottom w:type="dxa" w:w="80"/>
              <w:right w:type="dxa" w:w="100"/>
            </w:tcMar>
          </w:tcPr>
          <w:p>
            <w:r>
              <w:rPr>
                <w:b w:val="false"/>
                <w:bCs w:val="false"/>
                <w:color w:val="000000"/>
                <w:sz w:val="20"/>
                <w:szCs w:val="20"/>
              </w:rPr>
              <w:t xml:space="preserve">Full Lifecycle Stage model (POC through Churned, reversible)</w:t>
            </w:r>
          </w:p>
        </w:tc>
        <w:tc>
          <w:tcPr>
            <w:tcW w:type="dxa" w:w="1900"/>
            <w:shd w:fill="F2F2F2" w:val="clear"/>
            <w:tcMar>
              <w:top w:type="dxa" w:w="80"/>
              <w:left w:type="dxa" w:w="100"/>
              <w:bottom w:type="dxa" w:w="80"/>
              <w:right w:type="dxa" w:w="100"/>
            </w:tcMar>
          </w:tcPr>
          <w:p>
            <w:r>
              <w:rPr>
                <w:b w:val="false"/>
                <w:bCs w:val="false"/>
                <w:color w:val="000000"/>
                <w:sz w:val="20"/>
                <w:szCs w:val="20"/>
              </w:rPr>
              <w:t xml:space="preserve">Must</w:t>
            </w:r>
          </w:p>
        </w:tc>
      </w:tr>
      <w:tr>
        <w:tc>
          <w:tcPr>
            <w:tcW w:type="dxa" w:w="1200"/>
            <w:tcMar>
              <w:top w:type="dxa" w:w="80"/>
              <w:left w:type="dxa" w:w="100"/>
              <w:bottom w:type="dxa" w:w="80"/>
              <w:right w:type="dxa" w:w="100"/>
            </w:tcMar>
          </w:tcPr>
          <w:p>
            <w:r>
              <w:rPr>
                <w:b w:val="false"/>
                <w:bCs w:val="false"/>
                <w:color w:val="000000"/>
                <w:sz w:val="20"/>
                <w:szCs w:val="20"/>
              </w:rPr>
              <w:t xml:space="preserve">FR-07</w:t>
            </w:r>
          </w:p>
        </w:tc>
        <w:tc>
          <w:tcPr>
            <w:tcW w:type="dxa" w:w="6300"/>
            <w:tcMar>
              <w:top w:type="dxa" w:w="80"/>
              <w:left w:type="dxa" w:w="100"/>
              <w:bottom w:type="dxa" w:w="80"/>
              <w:right w:type="dxa" w:w="100"/>
            </w:tcMar>
          </w:tcPr>
          <w:p>
            <w:r>
              <w:rPr>
                <w:b w:val="false"/>
                <w:bCs w:val="false"/>
                <w:color w:val="000000"/>
                <w:sz w:val="20"/>
                <w:szCs w:val="20"/>
              </w:rPr>
              <w:t xml:space="preserve">Contact/stakeholder management with Power/Interest grid</w:t>
            </w:r>
          </w:p>
        </w:tc>
        <w:tc>
          <w:tcPr>
            <w:tcW w:type="dxa" w:w="1900"/>
            <w:tcMar>
              <w:top w:type="dxa" w:w="80"/>
              <w:left w:type="dxa" w:w="100"/>
              <w:bottom w:type="dxa" w:w="80"/>
              <w:right w:type="dxa" w:w="100"/>
            </w:tcMar>
          </w:tcPr>
          <w:p>
            <w:r>
              <w:rPr>
                <w:b w:val="false"/>
                <w:bCs w:val="false"/>
                <w:color w:val="000000"/>
                <w:sz w:val="20"/>
                <w:szCs w:val="20"/>
              </w:rPr>
              <w:t xml:space="preserve">Must</w:t>
            </w:r>
          </w:p>
        </w:tc>
      </w:tr>
      <w:tr>
        <w:tc>
          <w:tcPr>
            <w:tcW w:type="dxa" w:w="1200"/>
            <w:shd w:fill="F2F2F2" w:val="clear"/>
            <w:tcMar>
              <w:top w:type="dxa" w:w="80"/>
              <w:left w:type="dxa" w:w="100"/>
              <w:bottom w:type="dxa" w:w="80"/>
              <w:right w:type="dxa" w:w="100"/>
            </w:tcMar>
          </w:tcPr>
          <w:p>
            <w:r>
              <w:rPr>
                <w:b w:val="false"/>
                <w:bCs w:val="false"/>
                <w:color w:val="000000"/>
                <w:sz w:val="20"/>
                <w:szCs w:val="20"/>
              </w:rPr>
              <w:t xml:space="preserve">FR-08</w:t>
            </w:r>
          </w:p>
        </w:tc>
        <w:tc>
          <w:tcPr>
            <w:tcW w:type="dxa" w:w="6300"/>
            <w:shd w:fill="F2F2F2" w:val="clear"/>
            <w:tcMar>
              <w:top w:type="dxa" w:w="80"/>
              <w:left w:type="dxa" w:w="100"/>
              <w:bottom w:type="dxa" w:w="80"/>
              <w:right w:type="dxa" w:w="100"/>
            </w:tcMar>
          </w:tcPr>
          <w:p>
            <w:r>
              <w:rPr>
                <w:b w:val="false"/>
                <w:bCs w:val="false"/>
                <w:color w:val="000000"/>
                <w:sz w:val="20"/>
                <w:szCs w:val="20"/>
              </w:rPr>
              <w:t xml:space="preserve">Activity logging with controlled activity types</w:t>
            </w:r>
          </w:p>
        </w:tc>
        <w:tc>
          <w:tcPr>
            <w:tcW w:type="dxa" w:w="1900"/>
            <w:shd w:fill="F2F2F2" w:val="clear"/>
            <w:tcMar>
              <w:top w:type="dxa" w:w="80"/>
              <w:left w:type="dxa" w:w="100"/>
              <w:bottom w:type="dxa" w:w="80"/>
              <w:right w:type="dxa" w:w="100"/>
            </w:tcMar>
          </w:tcPr>
          <w:p>
            <w:r>
              <w:rPr>
                <w:b w:val="false"/>
                <w:bCs w:val="false"/>
                <w:color w:val="000000"/>
                <w:sz w:val="20"/>
                <w:szCs w:val="20"/>
              </w:rPr>
              <w:t xml:space="preserve">Must</w:t>
            </w:r>
          </w:p>
        </w:tc>
      </w:tr>
      <w:tr>
        <w:tc>
          <w:tcPr>
            <w:tcW w:type="dxa" w:w="1200"/>
            <w:tcMar>
              <w:top w:type="dxa" w:w="80"/>
              <w:left w:type="dxa" w:w="100"/>
              <w:bottom w:type="dxa" w:w="80"/>
              <w:right w:type="dxa" w:w="100"/>
            </w:tcMar>
          </w:tcPr>
          <w:p>
            <w:r>
              <w:rPr>
                <w:b w:val="false"/>
                <w:bCs w:val="false"/>
                <w:color w:val="000000"/>
                <w:sz w:val="20"/>
                <w:szCs w:val="20"/>
              </w:rPr>
              <w:t xml:space="preserve">FR-09</w:t>
            </w:r>
          </w:p>
        </w:tc>
        <w:tc>
          <w:tcPr>
            <w:tcW w:type="dxa" w:w="6300"/>
            <w:tcMar>
              <w:top w:type="dxa" w:w="80"/>
              <w:left w:type="dxa" w:w="100"/>
              <w:bottom w:type="dxa" w:w="80"/>
              <w:right w:type="dxa" w:w="100"/>
            </w:tcMar>
          </w:tcPr>
          <w:p>
            <w:r>
              <w:rPr>
                <w:b w:val="false"/>
                <w:bCs w:val="false"/>
                <w:color w:val="000000"/>
                <w:sz w:val="20"/>
                <w:szCs w:val="20"/>
              </w:rPr>
              <w:t xml:space="preserve">Automated task/reminder engine with role-based routing</w:t>
            </w:r>
          </w:p>
        </w:tc>
        <w:tc>
          <w:tcPr>
            <w:tcW w:type="dxa" w:w="1900"/>
            <w:tcMar>
              <w:top w:type="dxa" w:w="80"/>
              <w:left w:type="dxa" w:w="100"/>
              <w:bottom w:type="dxa" w:w="80"/>
              <w:right w:type="dxa" w:w="100"/>
            </w:tcMar>
          </w:tcPr>
          <w:p>
            <w:r>
              <w:rPr>
                <w:b w:val="false"/>
                <w:bCs w:val="false"/>
                <w:color w:val="000000"/>
                <w:sz w:val="20"/>
                <w:szCs w:val="20"/>
              </w:rPr>
              <w:t xml:space="preserve">Must</w:t>
            </w:r>
          </w:p>
        </w:tc>
      </w:tr>
      <w:tr>
        <w:tc>
          <w:tcPr>
            <w:tcW w:type="dxa" w:w="1200"/>
            <w:shd w:fill="F2F2F2" w:val="clear"/>
            <w:tcMar>
              <w:top w:type="dxa" w:w="80"/>
              <w:left w:type="dxa" w:w="100"/>
              <w:bottom w:type="dxa" w:w="80"/>
              <w:right w:type="dxa" w:w="100"/>
            </w:tcMar>
          </w:tcPr>
          <w:p>
            <w:r>
              <w:rPr>
                <w:b w:val="false"/>
                <w:bCs w:val="false"/>
                <w:color w:val="000000"/>
                <w:sz w:val="20"/>
                <w:szCs w:val="20"/>
              </w:rPr>
              <w:t xml:space="preserve">FR-10</w:t>
            </w:r>
          </w:p>
        </w:tc>
        <w:tc>
          <w:tcPr>
            <w:tcW w:type="dxa" w:w="6300"/>
            <w:shd w:fill="F2F2F2" w:val="clear"/>
            <w:tcMar>
              <w:top w:type="dxa" w:w="80"/>
              <w:left w:type="dxa" w:w="100"/>
              <w:bottom w:type="dxa" w:w="80"/>
              <w:right w:type="dxa" w:w="100"/>
            </w:tcMar>
          </w:tcPr>
          <w:p>
            <w:r>
              <w:rPr>
                <w:b w:val="false"/>
                <w:bCs w:val="false"/>
                <w:color w:val="000000"/>
                <w:sz w:val="20"/>
                <w:szCs w:val="20"/>
              </w:rPr>
              <w:t xml:space="preserve">In-app and email notifications for due tasks</w:t>
            </w:r>
          </w:p>
        </w:tc>
        <w:tc>
          <w:tcPr>
            <w:tcW w:type="dxa" w:w="1900"/>
            <w:shd w:fill="F2F2F2" w:val="clear"/>
            <w:tcMar>
              <w:top w:type="dxa" w:w="80"/>
              <w:left w:type="dxa" w:w="100"/>
              <w:bottom w:type="dxa" w:w="80"/>
              <w:right w:type="dxa" w:w="100"/>
            </w:tcMar>
          </w:tcPr>
          <w:p>
            <w:r>
              <w:rPr>
                <w:b w:val="false"/>
                <w:bCs w:val="false"/>
                <w:color w:val="000000"/>
                <w:sz w:val="20"/>
                <w:szCs w:val="20"/>
              </w:rPr>
              <w:t xml:space="preserve">Must</w:t>
            </w:r>
          </w:p>
        </w:tc>
      </w:tr>
      <w:tr>
        <w:tc>
          <w:tcPr>
            <w:tcW w:type="dxa" w:w="1200"/>
            <w:tcMar>
              <w:top w:type="dxa" w:w="80"/>
              <w:left w:type="dxa" w:w="100"/>
              <w:bottom w:type="dxa" w:w="80"/>
              <w:right w:type="dxa" w:w="100"/>
            </w:tcMar>
          </w:tcPr>
          <w:p>
            <w:r>
              <w:rPr>
                <w:b w:val="false"/>
                <w:bCs w:val="false"/>
                <w:color w:val="000000"/>
                <w:sz w:val="20"/>
                <w:szCs w:val="20"/>
              </w:rPr>
              <w:t xml:space="preserve">FR-11</w:t>
            </w:r>
          </w:p>
        </w:tc>
        <w:tc>
          <w:tcPr>
            <w:tcW w:type="dxa" w:w="6300"/>
            <w:tcMar>
              <w:top w:type="dxa" w:w="80"/>
              <w:left w:type="dxa" w:w="100"/>
              <w:bottom w:type="dxa" w:w="80"/>
              <w:right w:type="dxa" w:w="100"/>
            </w:tcMar>
          </w:tcPr>
          <w:p>
            <w:r>
              <w:rPr>
                <w:b w:val="false"/>
                <w:bCs w:val="false"/>
                <w:color w:val="000000"/>
                <w:sz w:val="20"/>
                <w:szCs w:val="20"/>
              </w:rPr>
              <w:t xml:space="preserve">Role-based dashboards and permissions (CSM/CSM Senior/ACM/Manager)</w:t>
            </w:r>
          </w:p>
        </w:tc>
        <w:tc>
          <w:tcPr>
            <w:tcW w:type="dxa" w:w="1900"/>
            <w:tcMar>
              <w:top w:type="dxa" w:w="80"/>
              <w:left w:type="dxa" w:w="100"/>
              <w:bottom w:type="dxa" w:w="80"/>
              <w:right w:type="dxa" w:w="100"/>
            </w:tcMar>
          </w:tcPr>
          <w:p>
            <w:r>
              <w:rPr>
                <w:b w:val="false"/>
                <w:bCs w:val="false"/>
                <w:color w:val="000000"/>
                <w:sz w:val="20"/>
                <w:szCs w:val="20"/>
              </w:rPr>
              <w:t xml:space="preserve">Must</w:t>
            </w:r>
          </w:p>
        </w:tc>
      </w:tr>
      <w:tr>
        <w:tc>
          <w:tcPr>
            <w:tcW w:type="dxa" w:w="1200"/>
            <w:shd w:fill="F2F2F2" w:val="clear"/>
            <w:tcMar>
              <w:top w:type="dxa" w:w="80"/>
              <w:left w:type="dxa" w:w="100"/>
              <w:bottom w:type="dxa" w:w="80"/>
              <w:right w:type="dxa" w:w="100"/>
            </w:tcMar>
          </w:tcPr>
          <w:p>
            <w:r>
              <w:rPr>
                <w:b w:val="false"/>
                <w:bCs w:val="false"/>
                <w:color w:val="000000"/>
                <w:sz w:val="20"/>
                <w:szCs w:val="20"/>
              </w:rPr>
              <w:t xml:space="preserve">FR-12</w:t>
            </w:r>
          </w:p>
        </w:tc>
        <w:tc>
          <w:tcPr>
            <w:tcW w:type="dxa" w:w="6300"/>
            <w:shd w:fill="F2F2F2" w:val="clear"/>
            <w:tcMar>
              <w:top w:type="dxa" w:w="80"/>
              <w:left w:type="dxa" w:w="100"/>
              <w:bottom w:type="dxa" w:w="80"/>
              <w:right w:type="dxa" w:w="100"/>
            </w:tcMar>
          </w:tcPr>
          <w:p>
            <w:r>
              <w:rPr>
                <w:b w:val="false"/>
                <w:bCs w:val="false"/>
                <w:color w:val="000000"/>
                <w:sz w:val="20"/>
                <w:szCs w:val="20"/>
              </w:rPr>
              <w:t xml:space="preserve">Global account search</w:t>
            </w:r>
          </w:p>
        </w:tc>
        <w:tc>
          <w:tcPr>
            <w:tcW w:type="dxa" w:w="1900"/>
            <w:shd w:fill="F2F2F2" w:val="clear"/>
            <w:tcMar>
              <w:top w:type="dxa" w:w="80"/>
              <w:left w:type="dxa" w:w="100"/>
              <w:bottom w:type="dxa" w:w="80"/>
              <w:right w:type="dxa" w:w="100"/>
            </w:tcMar>
          </w:tcPr>
          <w:p>
            <w:r>
              <w:rPr>
                <w:b w:val="false"/>
                <w:bCs w:val="false"/>
                <w:color w:val="000000"/>
                <w:sz w:val="20"/>
                <w:szCs w:val="20"/>
              </w:rPr>
              <w:t xml:space="preserve">Must</w:t>
            </w:r>
          </w:p>
        </w:tc>
      </w:tr>
      <w:tr>
        <w:tc>
          <w:tcPr>
            <w:tcW w:type="dxa" w:w="1200"/>
            <w:tcMar>
              <w:top w:type="dxa" w:w="80"/>
              <w:left w:type="dxa" w:w="100"/>
              <w:bottom w:type="dxa" w:w="80"/>
              <w:right w:type="dxa" w:w="100"/>
            </w:tcMar>
          </w:tcPr>
          <w:p>
            <w:r>
              <w:rPr>
                <w:b w:val="false"/>
                <w:bCs w:val="false"/>
                <w:color w:val="000000"/>
                <w:sz w:val="20"/>
                <w:szCs w:val="20"/>
              </w:rPr>
              <w:t xml:space="preserve">FR-13</w:t>
            </w:r>
          </w:p>
        </w:tc>
        <w:tc>
          <w:tcPr>
            <w:tcW w:type="dxa" w:w="6300"/>
            <w:tcMar>
              <w:top w:type="dxa" w:w="80"/>
              <w:left w:type="dxa" w:w="100"/>
              <w:bottom w:type="dxa" w:w="80"/>
              <w:right w:type="dxa" w:w="100"/>
            </w:tcMar>
          </w:tcPr>
          <w:p>
            <w:r>
              <w:rPr>
                <w:b w:val="false"/>
                <w:bCs w:val="false"/>
                <w:color w:val="000000"/>
                <w:sz w:val="20"/>
                <w:szCs w:val="20"/>
              </w:rPr>
              <w:t xml:space="preserve">Account fields: Description, Logo, Tenant URL, Drive URL</w:t>
            </w:r>
          </w:p>
        </w:tc>
        <w:tc>
          <w:tcPr>
            <w:tcW w:type="dxa" w:w="1900"/>
            <w:tcMar>
              <w:top w:type="dxa" w:w="80"/>
              <w:left w:type="dxa" w:w="100"/>
              <w:bottom w:type="dxa" w:w="80"/>
              <w:right w:type="dxa" w:w="100"/>
            </w:tcMar>
          </w:tcPr>
          <w:p>
            <w:r>
              <w:rPr>
                <w:b w:val="false"/>
                <w:bCs w:val="false"/>
                <w:color w:val="000000"/>
                <w:sz w:val="20"/>
                <w:szCs w:val="20"/>
              </w:rPr>
              <w:t xml:space="preserve">Should</w:t>
            </w:r>
          </w:p>
        </w:tc>
      </w:tr>
      <w:tr>
        <w:tc>
          <w:tcPr>
            <w:tcW w:type="dxa" w:w="1200"/>
            <w:shd w:fill="F2F2F2" w:val="clear"/>
            <w:tcMar>
              <w:top w:type="dxa" w:w="80"/>
              <w:left w:type="dxa" w:w="100"/>
              <w:bottom w:type="dxa" w:w="80"/>
              <w:right w:type="dxa" w:w="100"/>
            </w:tcMar>
          </w:tcPr>
          <w:p>
            <w:r>
              <w:rPr>
                <w:b w:val="false"/>
                <w:bCs w:val="false"/>
                <w:color w:val="000000"/>
                <w:sz w:val="20"/>
                <w:szCs w:val="20"/>
              </w:rPr>
              <w:t xml:space="preserve">FR-14</w:t>
            </w:r>
          </w:p>
        </w:tc>
        <w:tc>
          <w:tcPr>
            <w:tcW w:type="dxa" w:w="6300"/>
            <w:shd w:fill="F2F2F2" w:val="clear"/>
            <w:tcMar>
              <w:top w:type="dxa" w:w="80"/>
              <w:left w:type="dxa" w:w="100"/>
              <w:bottom w:type="dxa" w:w="80"/>
              <w:right w:type="dxa" w:w="100"/>
            </w:tcMar>
          </w:tcPr>
          <w:p>
            <w:r>
              <w:rPr>
                <w:b w:val="false"/>
                <w:bCs w:val="false"/>
                <w:color w:val="000000"/>
                <w:sz w:val="20"/>
                <w:szCs w:val="20"/>
              </w:rPr>
              <w:t xml:space="preserve">Reserved field for future Jira ticket linkage</w:t>
            </w:r>
          </w:p>
        </w:tc>
        <w:tc>
          <w:tcPr>
            <w:tcW w:type="dxa" w:w="1900"/>
            <w:shd w:fill="F2F2F2" w:val="clear"/>
            <w:tcMar>
              <w:top w:type="dxa" w:w="80"/>
              <w:left w:type="dxa" w:w="100"/>
              <w:bottom w:type="dxa" w:w="80"/>
              <w:right w:type="dxa" w:w="100"/>
            </w:tcMar>
          </w:tcPr>
          <w:p>
            <w:r>
              <w:rPr>
                <w:b w:val="false"/>
                <w:bCs w:val="false"/>
                <w:color w:val="000000"/>
                <w:sz w:val="20"/>
                <w:szCs w:val="20"/>
              </w:rPr>
              <w:t xml:space="preserve">Should</w:t>
            </w:r>
          </w:p>
        </w:tc>
      </w:tr>
      <w:tr>
        <w:tc>
          <w:tcPr>
            <w:tcW w:type="dxa" w:w="1200"/>
            <w:tcMar>
              <w:top w:type="dxa" w:w="80"/>
              <w:left w:type="dxa" w:w="100"/>
              <w:bottom w:type="dxa" w:w="80"/>
              <w:right w:type="dxa" w:w="100"/>
            </w:tcMar>
          </w:tcPr>
          <w:p>
            <w:r>
              <w:rPr>
                <w:b w:val="false"/>
                <w:bCs w:val="false"/>
                <w:color w:val="000000"/>
                <w:sz w:val="20"/>
                <w:szCs w:val="20"/>
              </w:rPr>
              <w:t xml:space="preserve">FR-15</w:t>
            </w:r>
          </w:p>
        </w:tc>
        <w:tc>
          <w:tcPr>
            <w:tcW w:type="dxa" w:w="6300"/>
            <w:tcMar>
              <w:top w:type="dxa" w:w="80"/>
              <w:left w:type="dxa" w:w="100"/>
              <w:bottom w:type="dxa" w:w="80"/>
              <w:right w:type="dxa" w:w="100"/>
            </w:tcMar>
          </w:tcPr>
          <w:p>
            <w:r>
              <w:rPr>
                <w:b w:val="false"/>
                <w:bCs w:val="false"/>
                <w:color w:val="000000"/>
                <w:sz w:val="20"/>
                <w:szCs w:val="20"/>
              </w:rPr>
              <w:t xml:space="preserve">Playbooks / stage checklists</w:t>
            </w:r>
          </w:p>
        </w:tc>
        <w:tc>
          <w:tcPr>
            <w:tcW w:type="dxa" w:w="1900"/>
            <w:tcMar>
              <w:top w:type="dxa" w:w="80"/>
              <w:left w:type="dxa" w:w="100"/>
              <w:bottom w:type="dxa" w:w="80"/>
              <w:right w:type="dxa" w:w="100"/>
            </w:tcMar>
          </w:tcPr>
          <w:p>
            <w:r>
              <w:rPr>
                <w:b w:val="false"/>
                <w:bCs w:val="false"/>
                <w:color w:val="000000"/>
                <w:sz w:val="20"/>
                <w:szCs w:val="20"/>
              </w:rPr>
              <w:t xml:space="preserve">Deferred</w:t>
            </w:r>
          </w:p>
        </w:tc>
      </w:tr>
      <w:tr>
        <w:tc>
          <w:tcPr>
            <w:tcW w:type="dxa" w:w="1200"/>
            <w:shd w:fill="F2F2F2" w:val="clear"/>
            <w:tcMar>
              <w:top w:type="dxa" w:w="80"/>
              <w:left w:type="dxa" w:w="100"/>
              <w:bottom w:type="dxa" w:w="80"/>
              <w:right w:type="dxa" w:w="100"/>
            </w:tcMar>
          </w:tcPr>
          <w:p>
            <w:r>
              <w:rPr>
                <w:b w:val="false"/>
                <w:bCs w:val="false"/>
                <w:color w:val="000000"/>
                <w:sz w:val="20"/>
                <w:szCs w:val="20"/>
              </w:rPr>
              <w:t xml:space="preserve">FR-16</w:t>
            </w:r>
          </w:p>
        </w:tc>
        <w:tc>
          <w:tcPr>
            <w:tcW w:type="dxa" w:w="6300"/>
            <w:shd w:fill="F2F2F2" w:val="clear"/>
            <w:tcMar>
              <w:top w:type="dxa" w:w="80"/>
              <w:left w:type="dxa" w:w="100"/>
              <w:bottom w:type="dxa" w:w="80"/>
              <w:right w:type="dxa" w:w="100"/>
            </w:tcMar>
          </w:tcPr>
          <w:p>
            <w:r>
              <w:rPr>
                <w:b w:val="false"/>
                <w:bCs w:val="false"/>
                <w:color w:val="000000"/>
                <w:sz w:val="20"/>
                <w:szCs w:val="20"/>
              </w:rPr>
              <w:t xml:space="preserve">Live Jira / Teams / Outlook integration</w:t>
            </w:r>
          </w:p>
        </w:tc>
        <w:tc>
          <w:tcPr>
            <w:tcW w:type="dxa" w:w="1900"/>
            <w:shd w:fill="F2F2F2" w:val="clear"/>
            <w:tcMar>
              <w:top w:type="dxa" w:w="80"/>
              <w:left w:type="dxa" w:w="100"/>
              <w:bottom w:type="dxa" w:w="80"/>
              <w:right w:type="dxa" w:w="100"/>
            </w:tcMar>
          </w:tcPr>
          <w:p>
            <w:r>
              <w:rPr>
                <w:b w:val="false"/>
                <w:bCs w:val="false"/>
                <w:color w:val="000000"/>
                <w:sz w:val="20"/>
                <w:szCs w:val="20"/>
              </w:rPr>
              <w:t xml:space="preserve">Future phase</w:t>
            </w:r>
          </w:p>
        </w:tc>
      </w:tr>
      <w:tr>
        <w:tc>
          <w:tcPr>
            <w:tcW w:type="dxa" w:w="1200"/>
            <w:tcMar>
              <w:top w:type="dxa" w:w="80"/>
              <w:left w:type="dxa" w:w="100"/>
              <w:bottom w:type="dxa" w:w="80"/>
              <w:right w:type="dxa" w:w="100"/>
            </w:tcMar>
          </w:tcPr>
          <w:p>
            <w:r>
              <w:rPr>
                <w:b w:val="false"/>
                <w:bCs w:val="false"/>
                <w:color w:val="000000"/>
                <w:sz w:val="20"/>
                <w:szCs w:val="20"/>
              </w:rPr>
              <w:t xml:space="preserve">FR-17</w:t>
            </w:r>
          </w:p>
        </w:tc>
        <w:tc>
          <w:tcPr>
            <w:tcW w:type="dxa" w:w="6300"/>
            <w:tcMar>
              <w:top w:type="dxa" w:w="80"/>
              <w:left w:type="dxa" w:w="100"/>
              <w:bottom w:type="dxa" w:w="80"/>
              <w:right w:type="dxa" w:w="100"/>
            </w:tcMar>
          </w:tcPr>
          <w:p>
            <w:r>
              <w:rPr>
                <w:b w:val="false"/>
                <w:bCs w:val="false"/>
                <w:color w:val="000000"/>
                <w:sz w:val="20"/>
                <w:szCs w:val="20"/>
              </w:rPr>
              <w:t xml:space="preserve">Chatbot interface</w:t>
            </w:r>
          </w:p>
        </w:tc>
        <w:tc>
          <w:tcPr>
            <w:tcW w:type="dxa" w:w="1900"/>
            <w:tcMar>
              <w:top w:type="dxa" w:w="80"/>
              <w:left w:type="dxa" w:w="100"/>
              <w:bottom w:type="dxa" w:w="80"/>
              <w:right w:type="dxa" w:w="100"/>
            </w:tcMar>
          </w:tcPr>
          <w:p>
            <w:r>
              <w:rPr>
                <w:b w:val="false"/>
                <w:bCs w:val="false"/>
                <w:color w:val="000000"/>
                <w:sz w:val="20"/>
                <w:szCs w:val="20"/>
              </w:rPr>
              <w:t xml:space="preserve">Future phase</w:t>
            </w:r>
          </w:p>
        </w:tc>
      </w:tr>
    </w:tbl>
    <w:p>
      <w:pPr>
        <w:pStyle w:val="Heading1"/>
        <w:spacing w:after="160" w:before="360"/>
      </w:pPr>
      <w:r>
        <w:rPr>
          <w:b/>
          <w:bCs/>
          <w:color w:val="1F3864"/>
          <w:sz w:val="30"/>
          <w:szCs w:val="30"/>
        </w:rPr>
        <w:t xml:space="preserve">8. Data Model Overview</w:t>
      </w:r>
    </w:p>
    <w:p>
      <w:pPr>
        <w:spacing w:after="140"/>
      </w:pPr>
      <w:r>
        <w:rPr>
          <w:sz w:val="21"/>
          <w:szCs w:val="21"/>
        </w:rPr>
        <w:t xml:space="preserve">The following core entities are required. Full field-level detail is available in the accompanying technical specification.</w:t>
      </w:r>
    </w:p>
    <w:p>
      <w:pPr>
        <w:pStyle w:val="Heading3"/>
        <w:spacing w:after="80" w:before="200"/>
      </w:pPr>
      <w:r>
        <w:rPr>
          <w:b/>
          <w:bCs/>
          <w:sz w:val="22"/>
          <w:szCs w:val="22"/>
        </w:rPr>
        <w:t xml:space="preserve">8.1 Users (internal dPhish staff)</w:t>
      </w:r>
    </w:p>
    <w:p>
      <w:pPr>
        <w:spacing w:after="140"/>
      </w:pPr>
      <w:r>
        <w:rPr>
          <w:sz w:val="21"/>
          <w:szCs w:val="21"/>
        </w:rPr>
        <w:t xml:space="preserve">id, name, email, password_hash, role, is_senior (boolean). Entirely separate from Contacts — Users have login access; Contacts do not.</w:t>
      </w:r>
    </w:p>
    <w:p>
      <w:pPr>
        <w:pStyle w:val="Heading3"/>
        <w:spacing w:after="80" w:before="200"/>
      </w:pPr>
      <w:r>
        <w:rPr>
          <w:b/>
          <w:bCs/>
          <w:sz w:val="22"/>
          <w:szCs w:val="22"/>
        </w:rPr>
        <w:t xml:space="preserve">8.2 Account</w:t>
      </w:r>
    </w:p>
    <w:p>
      <w:pPr>
        <w:spacing w:after="140"/>
      </w:pPr>
      <w:r>
        <w:rPr>
          <w:sz w:val="21"/>
          <w:szCs w:val="21"/>
        </w:rPr>
        <w:t xml:space="preserve">Client identity and contract fields (imported from the existing spreadsheet), plus Description, Logo, Tenant URL, Drive URL, Class, Health Status, Size, Lifecycle Stage, and Required Meeting Frequency.</w:t>
      </w:r>
    </w:p>
    <w:p>
      <w:pPr>
        <w:pStyle w:val="Heading3"/>
        <w:spacing w:after="80" w:before="200"/>
      </w:pPr>
      <w:r>
        <w:rPr>
          <w:b/>
          <w:bCs/>
          <w:sz w:val="22"/>
          <w:szCs w:val="22"/>
        </w:rPr>
        <w:t xml:space="preserve">8.3 Contact</w:t>
      </w:r>
    </w:p>
    <w:p>
      <w:pPr>
        <w:spacing w:after="140"/>
      </w:pPr>
      <w:r>
        <w:rPr>
          <w:sz w:val="21"/>
          <w:szCs w:val="21"/>
        </w:rPr>
        <w:t xml:space="preserve">Name, Phone, Email, Title, Influence Level, Interest Level, Communication Channels, Preferred Channel — one-to-many with Account.</w:t>
      </w:r>
    </w:p>
    <w:p>
      <w:pPr>
        <w:pStyle w:val="Heading3"/>
        <w:spacing w:after="80" w:before="200"/>
      </w:pPr>
      <w:r>
        <w:rPr>
          <w:b/>
          <w:bCs/>
          <w:sz w:val="22"/>
          <w:szCs w:val="22"/>
        </w:rPr>
        <w:t xml:space="preserve">8.4 Activity Log</w:t>
      </w:r>
    </w:p>
    <w:p>
      <w:pPr>
        <w:spacing w:after="140"/>
      </w:pPr>
      <w:r>
        <w:rPr>
          <w:sz w:val="21"/>
          <w:szCs w:val="21"/>
        </w:rPr>
        <w:t xml:space="preserve">Account (required), Contact (optional), Type, free-text notes, date — chronological, append-only.</w:t>
      </w:r>
    </w:p>
    <w:p>
      <w:pPr>
        <w:pStyle w:val="Heading3"/>
        <w:spacing w:after="80" w:before="200"/>
      </w:pPr>
      <w:r>
        <w:rPr>
          <w:b/>
          <w:bCs/>
          <w:sz w:val="22"/>
          <w:szCs w:val="22"/>
        </w:rPr>
        <w:t xml:space="preserve">8.5 Task</w:t>
      </w:r>
    </w:p>
    <w:p>
      <w:pPr>
        <w:spacing w:after="140"/>
      </w:pPr>
      <w:r>
        <w:rPr>
          <w:sz w:val="21"/>
          <w:szCs w:val="21"/>
        </w:rPr>
        <w:t xml:space="preserve">Account, Contact (optional), Type, Category, Due Date, Status, Description, Jira Ticket ID (reserved) — one-to-many with Account.</w:t>
      </w:r>
    </w:p>
    <w:p>
      <w:pPr>
        <w:pStyle w:val="Heading3"/>
        <w:spacing w:after="80" w:before="200"/>
      </w:pPr>
      <w:r>
        <w:rPr>
          <w:b/>
          <w:bCs/>
          <w:sz w:val="22"/>
          <w:szCs w:val="22"/>
        </w:rPr>
        <w:t xml:space="preserve">8.6 Health Score History</w:t>
      </w:r>
    </w:p>
    <w:p>
      <w:pPr>
        <w:spacing w:after="140"/>
      </w:pPr>
      <w:r>
        <w:rPr>
          <w:sz w:val="21"/>
          <w:szCs w:val="21"/>
        </w:rPr>
        <w:t xml:space="preserve">Account, Date, Score, Colour, per-factor breakdown — one row per calculation, from either trigger.</w:t>
      </w:r>
    </w:p>
    <w:p>
      <w:pPr>
        <w:pStyle w:val="Heading1"/>
        <w:spacing w:after="160" w:before="360"/>
      </w:pPr>
      <w:r>
        <w:rPr>
          <w:b/>
          <w:bCs/>
          <w:color w:val="1F3864"/>
          <w:sz w:val="30"/>
          <w:szCs w:val="30"/>
        </w:rPr>
        <w:t xml:space="preserve">9. Business Rules</w:t>
      </w:r>
    </w:p>
    <w:p>
      <w:pPr>
        <w:pStyle w:val="Heading2"/>
        <w:spacing w:after="120" w:before="260"/>
      </w:pPr>
      <w:r>
        <w:rPr>
          <w:b/>
          <w:bCs/>
          <w:color w:val="2E74B5"/>
          <w:sz w:val="24"/>
          <w:szCs w:val="24"/>
        </w:rPr>
        <w:t xml:space="preserve">9.1 Separation of Health and Renewal Responsibility</w:t>
      </w:r>
    </w:p>
    <w:p>
      <w:pPr>
        <w:spacing w:after="140"/>
      </w:pPr>
      <w:r>
        <w:rPr>
          <w:sz w:val="21"/>
          <w:szCs w:val="21"/>
        </w:rPr>
        <w:t xml:space="preserve">ACM users are strictly prevented from viewing Health Score information anywhere in the system — including aggregated dashboard views — to preserve a clean separation between commercial renewal ownership and day-to-day account health ownership. The single explicit exception is the POC stage, where CSM and ACM share responsibility jointly.</w:t>
      </w:r>
    </w:p>
    <w:p>
      <w:pPr>
        <w:pStyle w:val="Heading2"/>
        <w:spacing w:after="120" w:before="260"/>
      </w:pPr>
      <w:r>
        <w:rPr>
          <w:b/>
          <w:bCs/>
          <w:color w:val="2E74B5"/>
          <w:sz w:val="24"/>
          <w:szCs w:val="24"/>
        </w:rPr>
        <w:t xml:space="preserve">9.2 Class Independence</w:t>
      </w:r>
    </w:p>
    <w:p>
      <w:pPr>
        <w:spacing w:after="140"/>
      </w:pPr>
      <w:r>
        <w:rPr>
          <w:sz w:val="21"/>
          <w:szCs w:val="21"/>
        </w:rPr>
        <w:t xml:space="preserve">The Class attribute (VIP/A/B/C/D) never influences Health Score computation. It is used exclusively to prioritise attention on the dashboard.</w:t>
      </w:r>
    </w:p>
    <w:p>
      <w:pPr>
        <w:pStyle w:val="Heading2"/>
        <w:spacing w:after="120" w:before="260"/>
      </w:pPr>
      <w:r>
        <w:rPr>
          <w:b/>
          <w:bCs/>
          <w:color w:val="2E74B5"/>
          <w:sz w:val="24"/>
          <w:szCs w:val="24"/>
        </w:rPr>
        <w:t xml:space="preserve">9.3 Override Governance</w:t>
      </w:r>
    </w:p>
    <w:p>
      <w:pPr>
        <w:spacing w:after="140"/>
      </w:pPr>
      <w:r>
        <w:rPr>
          <w:sz w:val="21"/>
          <w:szCs w:val="21"/>
        </w:rPr>
        <w:t xml:space="preserve">A manual Health Status override always requires a documented reason and is automatically invalidated by the next score recalculation that produces a different number — even a minor change — favouring override recency over persistence.</w:t>
      </w:r>
    </w:p>
    <w:p>
      <w:pPr>
        <w:pStyle w:val="Heading2"/>
        <w:spacing w:after="120" w:before="260"/>
      </w:pPr>
      <w:r>
        <w:rPr>
          <w:b/>
          <w:bCs/>
          <w:color w:val="2E74B5"/>
          <w:sz w:val="24"/>
          <w:szCs w:val="24"/>
        </w:rPr>
        <w:t xml:space="preserve">9.4 Access vs. Notification Scope</w:t>
      </w:r>
    </w:p>
    <w:p>
      <w:pPr>
        <w:spacing w:after="140"/>
      </w:pPr>
      <w:r>
        <w:rPr>
          <w:sz w:val="21"/>
          <w:szCs w:val="21"/>
        </w:rPr>
        <w:t xml:space="preserve">View/edit access (governed by role and the is_senior flag) is deliberately separate from notification routing (governed strictly by actual account assignment). A CSM Senior can view and act on any account but is notified only about accounts actually assigned to them.</w:t>
      </w:r>
    </w:p>
    <w:p>
      <w:pPr>
        <w:pStyle w:val="Heading1"/>
        <w:spacing w:after="160" w:before="360"/>
      </w:pPr>
      <w:r>
        <w:rPr>
          <w:b/>
          <w:bCs/>
          <w:color w:val="1F3864"/>
          <w:sz w:val="30"/>
          <w:szCs w:val="30"/>
        </w:rPr>
        <w:t xml:space="preserve">10. Assumptions</w:t>
      </w:r>
    </w:p>
    <w:p>
      <w:pPr>
        <w:pStyle w:val="ListParagraph"/>
        <w:numPr>
          <w:ilvl w:val="0"/>
          <w:numId w:val="2"/>
        </w:numPr>
        <w:spacing w:after="60"/>
      </w:pPr>
      <w:r>
        <w:rPr>
          <w:sz w:val="21"/>
          <w:szCs w:val="21"/>
        </w:rPr>
        <w:t xml:space="preserve">The current portfolio size (~60 accounts) will not require architectural changes to support in the near term.</w:t>
      </w:r>
    </w:p>
    <w:p>
      <w:pPr>
        <w:pStyle w:val="ListParagraph"/>
        <w:numPr>
          <w:ilvl w:val="0"/>
          <w:numId w:val="2"/>
        </w:numPr>
        <w:spacing w:after="60"/>
      </w:pPr>
      <w:r>
        <w:rPr>
          <w:sz w:val="21"/>
          <w:szCs w:val="21"/>
        </w:rPr>
        <w:t xml:space="preserve">Training completion and phishing simulation data will be entered manually in this phase, pending future dPhish platform API integration.</w:t>
      </w:r>
    </w:p>
    <w:p>
      <w:pPr>
        <w:pStyle w:val="ListParagraph"/>
        <w:numPr>
          <w:ilvl w:val="0"/>
          <w:numId w:val="2"/>
        </w:numPr>
        <w:spacing w:after="60"/>
      </w:pPr>
      <w:r>
        <w:rPr>
          <w:sz w:val="21"/>
          <w:szCs w:val="21"/>
        </w:rPr>
        <w:t xml:space="preserve">Hosting environment selection is independent of this scope and will not affect the technical design.</w:t>
      </w:r>
    </w:p>
    <w:p>
      <w:pPr>
        <w:pStyle w:val="ListParagraph"/>
        <w:numPr>
          <w:ilvl w:val="0"/>
          <w:numId w:val="2"/>
        </w:numPr>
        <w:spacing w:after="60"/>
      </w:pPr>
      <w:r>
        <w:rPr>
          <w:sz w:val="21"/>
          <w:szCs w:val="21"/>
        </w:rPr>
        <w:t xml:space="preserve">CSAT will be collected via manual CSM/ACM assessment in this phase, pending future automated survey delivery.</w:t>
      </w:r>
    </w:p>
    <w:p>
      <w:pPr>
        <w:pStyle w:val="Heading1"/>
        <w:spacing w:after="160" w:before="360"/>
      </w:pPr>
      <w:r>
        <w:rPr>
          <w:b/>
          <w:bCs/>
          <w:color w:val="1F3864"/>
          <w:sz w:val="30"/>
          <w:szCs w:val="30"/>
        </w:rPr>
        <w:t xml:space="preserve">11. Constraints</w:t>
      </w:r>
    </w:p>
    <w:p>
      <w:pPr>
        <w:pStyle w:val="ListParagraph"/>
        <w:numPr>
          <w:ilvl w:val="0"/>
          <w:numId w:val="2"/>
        </w:numPr>
        <w:spacing w:after="60"/>
      </w:pPr>
      <w:r>
        <w:rPr>
          <w:sz w:val="21"/>
          <w:szCs w:val="21"/>
        </w:rPr>
        <w:t xml:space="preserve">No live integration with Jira, Teams, or Outlook in this phase — architecture must remain open to it, but no functional dependency exists.</w:t>
      </w:r>
    </w:p>
    <w:p>
      <w:pPr>
        <w:pStyle w:val="ListParagraph"/>
        <w:numPr>
          <w:ilvl w:val="0"/>
          <w:numId w:val="2"/>
        </w:numPr>
        <w:spacing w:after="60"/>
      </w:pPr>
      <w:r>
        <w:rPr>
          <w:sz w:val="21"/>
          <w:szCs w:val="21"/>
        </w:rPr>
        <w:t xml:space="preserve">Authentication is platform-native (independent credentials); no SSO integration with dPhish's existing systems in this phase.</w:t>
      </w:r>
    </w:p>
    <w:p>
      <w:pPr>
        <w:pStyle w:val="Heading1"/>
        <w:spacing w:after="160" w:before="360"/>
      </w:pPr>
      <w:r>
        <w:rPr>
          <w:b/>
          <w:bCs/>
          <w:color w:val="1F3864"/>
          <w:sz w:val="30"/>
          <w:szCs w:val="30"/>
        </w:rPr>
        <w:t xml:space="preserve">12. Deferred / Out-of-Scope Items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4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Item</w:t>
            </w:r>
          </w:p>
        </w:tc>
        <w:tc>
          <w:tcPr>
            <w:tcW w:type="dxa" w:w="1600"/>
            <w:shd w:fill="1F3864" w:val="clear"/>
            <w:tcMar>
              <w:top w:type="dxa" w:w="80"/>
              <w:left w:type="dxa" w:w="100"/>
              <w:bottom w:type="dxa" w:w="80"/>
              <w:right w:type="dxa" w:w="100"/>
            </w:tcMar>
          </w:tcPr>
          <w:p>
            <w:r>
              <w:rPr>
                <w:b/>
                <w:bCs/>
                <w:color w:val="FFFFFF"/>
                <w:sz w:val="19"/>
                <w:szCs w:val="19"/>
              </w:rPr>
              <w:t xml:space="preserve">Status</w:t>
            </w:r>
          </w:p>
        </w:tc>
        <w:tc>
          <w:tcPr>
            <w:tcW w:type="dxa" w:w="5400"/>
            <w:shd w:fill="1F3864" w:val="clear"/>
            <w:tcMar>
              <w:top w:type="dxa" w:w="80"/>
              <w:left w:type="dxa" w:w="100"/>
              <w:bottom w:type="dxa" w:w="80"/>
              <w:right w:type="dxa" w:w="100"/>
            </w:tcMar>
          </w:tcPr>
          <w:p>
            <w:r>
              <w:rPr>
                <w:b/>
                <w:bCs/>
                <w:color w:val="FFFFFF"/>
                <w:sz w:val="19"/>
                <w:szCs w:val="19"/>
              </w:rPr>
              <w:t xml:space="preserve">Rationale</w:t>
            </w:r>
          </w:p>
        </w:tc>
      </w:tr>
      <w:tr>
        <w:tc>
          <w:tcPr>
            <w:tcW w:type="dxa" w:w="2400"/>
            <w:tcMar>
              <w:top w:type="dxa" w:w="80"/>
              <w:left w:type="dxa" w:w="100"/>
              <w:bottom w:type="dxa" w:w="80"/>
              <w:right w:type="dxa" w:w="100"/>
            </w:tcMar>
          </w:tcPr>
          <w:p>
            <w:r>
              <w:rPr>
                <w:b w:val="false"/>
                <w:bCs w:val="false"/>
                <w:color w:val="000000"/>
                <w:sz w:val="20"/>
                <w:szCs w:val="20"/>
              </w:rPr>
              <w:t xml:space="preserve">Playbooks (stage-based checklists)</w:t>
            </w:r>
          </w:p>
        </w:tc>
        <w:tc>
          <w:tcPr>
            <w:tcW w:type="dxa" w:w="1600"/>
            <w:tcMar>
              <w:top w:type="dxa" w:w="80"/>
              <w:left w:type="dxa" w:w="100"/>
              <w:bottom w:type="dxa" w:w="80"/>
              <w:right w:type="dxa" w:w="100"/>
            </w:tcMar>
          </w:tcPr>
          <w:p>
            <w:r>
              <w:rPr>
                <w:b w:val="false"/>
                <w:bCs w:val="false"/>
                <w:color w:val="000000"/>
                <w:sz w:val="20"/>
                <w:szCs w:val="20"/>
              </w:rPr>
              <w:t xml:space="preserve">Removed from MVP</w:t>
            </w:r>
          </w:p>
        </w:tc>
        <w:tc>
          <w:tcPr>
            <w:tcW w:type="dxa" w:w="5400"/>
            <w:tcMar>
              <w:top w:type="dxa" w:w="80"/>
              <w:left w:type="dxa" w:w="100"/>
              <w:bottom w:type="dxa" w:w="80"/>
              <w:right w:type="dxa" w:w="100"/>
            </w:tcMar>
          </w:tcPr>
          <w:p>
            <w:r>
              <w:rPr>
                <w:b w:val="false"/>
                <w:bCs w:val="false"/>
                <w:color w:val="000000"/>
                <w:sz w:val="20"/>
                <w:szCs w:val="20"/>
              </w:rPr>
              <w:t xml:space="preserve">Value unclear prior to real usage; may be revisited after the platform is in active use</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Hosting environment</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Deferred</w:t>
            </w:r>
          </w:p>
        </w:tc>
        <w:tc>
          <w:tcPr>
            <w:tcW w:type="dxa" w:w="5400"/>
            <w:shd w:fill="F2F2F2" w:val="clear"/>
            <w:tcMar>
              <w:top w:type="dxa" w:w="80"/>
              <w:left w:type="dxa" w:w="100"/>
              <w:bottom w:type="dxa" w:w="80"/>
              <w:right w:type="dxa" w:w="100"/>
            </w:tcMar>
          </w:tcPr>
          <w:p>
            <w:r>
              <w:rPr>
                <w:b w:val="false"/>
                <w:bCs w:val="false"/>
                <w:color w:val="000000"/>
                <w:sz w:val="20"/>
                <w:szCs w:val="20"/>
              </w:rPr>
              <w:t xml:space="preserve">Decision does not affect application architecture</w:t>
            </w:r>
          </w:p>
        </w:tc>
      </w:tr>
      <w:tr>
        <w:tc>
          <w:tcPr>
            <w:tcW w:type="dxa" w:w="2400"/>
            <w:tcMar>
              <w:top w:type="dxa" w:w="80"/>
              <w:left w:type="dxa" w:w="100"/>
              <w:bottom w:type="dxa" w:w="80"/>
              <w:right w:type="dxa" w:w="100"/>
            </w:tcMar>
          </w:tcPr>
          <w:p>
            <w:r>
              <w:rPr>
                <w:b w:val="false"/>
                <w:bCs w:val="false"/>
                <w:color w:val="000000"/>
                <w:sz w:val="20"/>
                <w:szCs w:val="20"/>
              </w:rPr>
              <w:t xml:space="preserve">Jira / Teams / Outlook integration</w:t>
            </w:r>
          </w:p>
        </w:tc>
        <w:tc>
          <w:tcPr>
            <w:tcW w:type="dxa" w:w="1600"/>
            <w:tcMar>
              <w:top w:type="dxa" w:w="80"/>
              <w:left w:type="dxa" w:w="100"/>
              <w:bottom w:type="dxa" w:w="80"/>
              <w:right w:type="dxa" w:w="100"/>
            </w:tcMar>
          </w:tcPr>
          <w:p>
            <w:r>
              <w:rPr>
                <w:b w:val="false"/>
                <w:bCs w:val="false"/>
                <w:color w:val="000000"/>
                <w:sz w:val="20"/>
                <w:szCs w:val="20"/>
              </w:rPr>
              <w:t xml:space="preserve">Future phase</w:t>
            </w:r>
          </w:p>
        </w:tc>
        <w:tc>
          <w:tcPr>
            <w:tcW w:type="dxa" w:w="5400"/>
            <w:tcMar>
              <w:top w:type="dxa" w:w="80"/>
              <w:left w:type="dxa" w:w="100"/>
              <w:bottom w:type="dxa" w:w="80"/>
              <w:right w:type="dxa" w:w="100"/>
            </w:tcMar>
          </w:tcPr>
          <w:p>
            <w:r>
              <w:rPr>
                <w:b w:val="false"/>
                <w:bCs w:val="false"/>
                <w:color w:val="000000"/>
                <w:sz w:val="20"/>
                <w:szCs w:val="20"/>
              </w:rPr>
              <w:t xml:space="preserve">Architecture reserves fields (e.g. Jira Ticket ID) to enable this without rework</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Chatbot interface</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Future phase</w:t>
            </w:r>
          </w:p>
        </w:tc>
        <w:tc>
          <w:tcPr>
            <w:tcW w:type="dxa" w:w="5400"/>
            <w:shd w:fill="F2F2F2" w:val="clear"/>
            <w:tcMar>
              <w:top w:type="dxa" w:w="80"/>
              <w:left w:type="dxa" w:w="100"/>
              <w:bottom w:type="dxa" w:w="80"/>
              <w:right w:type="dxa" w:w="100"/>
            </w:tcMar>
          </w:tcPr>
          <w:p>
            <w:r>
              <w:rPr>
                <w:b w:val="false"/>
                <w:bCs w:val="false"/>
                <w:color w:val="000000"/>
                <w:sz w:val="20"/>
                <w:szCs w:val="20"/>
              </w:rPr>
              <w:t xml:space="preserve">Not required for MVP value delivery</w:t>
            </w:r>
          </w:p>
        </w:tc>
      </w:tr>
      <w:tr>
        <w:tc>
          <w:tcPr>
            <w:tcW w:type="dxa" w:w="2400"/>
            <w:tcMar>
              <w:top w:type="dxa" w:w="80"/>
              <w:left w:type="dxa" w:w="100"/>
              <w:bottom w:type="dxa" w:w="80"/>
              <w:right w:type="dxa" w:w="100"/>
            </w:tcMar>
          </w:tcPr>
          <w:p>
            <w:r>
              <w:rPr>
                <w:b w:val="false"/>
                <w:bCs w:val="false"/>
                <w:color w:val="000000"/>
                <w:sz w:val="20"/>
                <w:szCs w:val="20"/>
              </w:rPr>
              <w:t xml:space="preserve">Automated CSAT survey</w:t>
            </w:r>
          </w:p>
        </w:tc>
        <w:tc>
          <w:tcPr>
            <w:tcW w:type="dxa" w:w="1600"/>
            <w:tcMar>
              <w:top w:type="dxa" w:w="80"/>
              <w:left w:type="dxa" w:w="100"/>
              <w:bottom w:type="dxa" w:w="80"/>
              <w:right w:type="dxa" w:w="100"/>
            </w:tcMar>
          </w:tcPr>
          <w:p>
            <w:r>
              <w:rPr>
                <w:b w:val="false"/>
                <w:bCs w:val="false"/>
                <w:color w:val="000000"/>
                <w:sz w:val="20"/>
                <w:szCs w:val="20"/>
              </w:rPr>
              <w:t xml:space="preserve">Future phase</w:t>
            </w:r>
          </w:p>
        </w:tc>
        <w:tc>
          <w:tcPr>
            <w:tcW w:type="dxa" w:w="5400"/>
            <w:tcMar>
              <w:top w:type="dxa" w:w="80"/>
              <w:left w:type="dxa" w:w="100"/>
              <w:bottom w:type="dxa" w:w="80"/>
              <w:right w:type="dxa" w:w="100"/>
            </w:tcMar>
          </w:tcPr>
          <w:p>
            <w:r>
              <w:rPr>
                <w:b w:val="false"/>
                <w:bCs w:val="false"/>
                <w:color w:val="000000"/>
                <w:sz w:val="20"/>
                <w:szCs w:val="20"/>
              </w:rPr>
              <w:t xml:space="preserve">Manual entry sufficient for MVP</w:t>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Automated training/phishing data pull</w:t>
            </w:r>
          </w:p>
        </w:tc>
        <w:tc>
          <w:tcPr>
            <w:tcW w:type="dxa" w:w="1600"/>
            <w:shd w:fill="F2F2F2" w:val="clear"/>
            <w:tcMar>
              <w:top w:type="dxa" w:w="80"/>
              <w:left w:type="dxa" w:w="100"/>
              <w:bottom w:type="dxa" w:w="80"/>
              <w:right w:type="dxa" w:w="100"/>
            </w:tcMar>
          </w:tcPr>
          <w:p>
            <w:r>
              <w:rPr>
                <w:b w:val="false"/>
                <w:bCs w:val="false"/>
                <w:color w:val="000000"/>
                <w:sz w:val="20"/>
                <w:szCs w:val="20"/>
              </w:rPr>
              <w:t xml:space="preserve">Future phase</w:t>
            </w:r>
          </w:p>
        </w:tc>
        <w:tc>
          <w:tcPr>
            <w:tcW w:type="dxa" w:w="5400"/>
            <w:shd w:fill="F2F2F2" w:val="clear"/>
            <w:tcMar>
              <w:top w:type="dxa" w:w="80"/>
              <w:left w:type="dxa" w:w="100"/>
              <w:bottom w:type="dxa" w:w="80"/>
              <w:right w:type="dxa" w:w="100"/>
            </w:tcMar>
          </w:tcPr>
          <w:p>
            <w:r>
              <w:rPr>
                <w:b w:val="false"/>
                <w:bCs w:val="false"/>
                <w:color w:val="000000"/>
                <w:sz w:val="20"/>
                <w:szCs w:val="20"/>
              </w:rPr>
              <w:t xml:space="preserve">Manual entry sufficient for MVP; dPhish API automation exists and can be connected later</w:t>
            </w:r>
          </w:p>
        </w:tc>
      </w:tr>
    </w:tbl>
    <w:p>
      <w:pPr>
        <w:pStyle w:val="Heading1"/>
        <w:spacing w:after="160" w:before="360"/>
      </w:pPr>
      <w:r>
        <w:rPr>
          <w:b/>
          <w:bCs/>
          <w:color w:val="1F3864"/>
          <w:sz w:val="30"/>
          <w:szCs w:val="30"/>
        </w:rPr>
        <w:t xml:space="preserve">13. Success Criteria</w:t>
      </w:r>
    </w:p>
    <w:p>
      <w:pPr>
        <w:pStyle w:val="ListParagraph"/>
        <w:numPr>
          <w:ilvl w:val="0"/>
          <w:numId w:val="2"/>
        </w:numPr>
        <w:spacing w:after="60"/>
      </w:pPr>
      <w:r>
        <w:rPr>
          <w:sz w:val="21"/>
          <w:szCs w:val="21"/>
        </w:rPr>
        <w:t xml:space="preserve">All ~60 accounts are successfully migrated from spreadsheet to platform with no data loss.</w:t>
      </w:r>
    </w:p>
    <w:p>
      <w:pPr>
        <w:pStyle w:val="ListParagraph"/>
        <w:numPr>
          <w:ilvl w:val="0"/>
          <w:numId w:val="2"/>
        </w:numPr>
        <w:spacing w:after="60"/>
      </w:pPr>
      <w:r>
        <w:rPr>
          <w:sz w:val="21"/>
          <w:szCs w:val="21"/>
        </w:rPr>
        <w:t xml:space="preserve">Health Score updates automatically (both event-driven and daily) without manual recalculation.</w:t>
      </w:r>
    </w:p>
    <w:p>
      <w:pPr>
        <w:pStyle w:val="ListParagraph"/>
        <w:numPr>
          <w:ilvl w:val="0"/>
          <w:numId w:val="2"/>
        </w:numPr>
        <w:spacing w:after="60"/>
      </w:pPr>
      <w:r>
        <w:rPr>
          <w:sz w:val="21"/>
          <w:szCs w:val="21"/>
        </w:rPr>
        <w:t xml:space="preserve">CSMs can identify, within the dashboard, which accounts require attention without cross-referencing multiple spreadsheets.</w:t>
      </w:r>
    </w:p>
    <w:p>
      <w:pPr>
        <w:pStyle w:val="ListParagraph"/>
        <w:numPr>
          <w:ilvl w:val="0"/>
          <w:numId w:val="2"/>
        </w:numPr>
        <w:spacing w:after="60"/>
      </w:pPr>
      <w:r>
        <w:rPr>
          <w:sz w:val="21"/>
          <w:szCs w:val="21"/>
        </w:rPr>
        <w:t xml:space="preserve">ACM users can perform renewal-related work without any exposure to Health Score data.</w:t>
      </w:r>
    </w:p>
    <w:p>
      <w:pPr>
        <w:pStyle w:val="ListParagraph"/>
        <w:numPr>
          <w:ilvl w:val="0"/>
          <w:numId w:val="2"/>
        </w:numPr>
        <w:spacing w:after="60"/>
      </w:pPr>
      <w:r>
        <w:rPr>
          <w:sz w:val="21"/>
          <w:szCs w:val="21"/>
        </w:rPr>
        <w:t xml:space="preserve">No renewal, quarterly meeting, or health-risk follow-up is missed due to lack of a reminder.</w:t>
      </w:r>
    </w:p>
    <w:p>
      <w:pPr>
        <w:pStyle w:val="Heading1"/>
        <w:spacing w:after="160" w:before="360"/>
      </w:pPr>
      <w:r>
        <w:rPr>
          <w:b/>
          <w:bCs/>
          <w:color w:val="1F3864"/>
          <w:sz w:val="30"/>
          <w:szCs w:val="30"/>
        </w:rPr>
        <w:t xml:space="preserve">14. Approval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2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Role</w:t>
            </w:r>
          </w:p>
        </w:tc>
        <w:tc>
          <w:tcPr>
            <w:tcW w:type="dxa" w:w="2400"/>
            <w:shd w:fill="1F3864" w:val="clear"/>
            <w:tcMar>
              <w:top w:type="dxa" w:w="80"/>
              <w:left w:type="dxa" w:w="100"/>
              <w:bottom w:type="dxa" w:w="80"/>
              <w:right w:type="dxa" w:w="100"/>
            </w:tcMar>
          </w:tcPr>
          <w:p>
            <w:r>
              <w:rPr>
                <w:b/>
                <w:bCs/>
                <w:color w:val="FFFFFF"/>
                <w:sz w:val="19"/>
                <w:szCs w:val="19"/>
              </w:rPr>
              <w:t xml:space="preserve">Name</w:t>
            </w:r>
          </w:p>
        </w:tc>
        <w:tc>
          <w:tcPr>
            <w:tcW w:type="dxa" w:w="2400"/>
            <w:shd w:fill="1F3864" w:val="clear"/>
            <w:tcMar>
              <w:top w:type="dxa" w:w="80"/>
              <w:left w:type="dxa" w:w="100"/>
              <w:bottom w:type="dxa" w:w="80"/>
              <w:right w:type="dxa" w:w="100"/>
            </w:tcMar>
          </w:tcPr>
          <w:p>
            <w:r>
              <w:rPr>
                <w:b/>
                <w:bCs/>
                <w:color w:val="FFFFFF"/>
                <w:sz w:val="19"/>
                <w:szCs w:val="19"/>
              </w:rPr>
              <w:t xml:space="preserve">Signature</w:t>
            </w:r>
          </w:p>
        </w:tc>
        <w:tc>
          <w:tcPr>
            <w:tcW w:type="dxa" w:w="2200"/>
            <w:shd w:fill="1F3864" w:val="clear"/>
            <w:tcMar>
              <w:top w:type="dxa" w:w="80"/>
              <w:left w:type="dxa" w:w="100"/>
              <w:bottom w:type="dxa" w:w="80"/>
              <w:right w:type="dxa" w:w="100"/>
            </w:tcMar>
          </w:tcPr>
          <w:p>
            <w:r>
              <w:rPr>
                <w:b/>
                <w:bCs/>
                <w:color w:val="FFFFFF"/>
                <w:sz w:val="19"/>
                <w:szCs w:val="19"/>
              </w:rPr>
              <w:t xml:space="preserve">Date</w:t>
            </w:r>
          </w:p>
        </w:tc>
      </w:tr>
      <w:tr>
        <w:tc>
          <w:tcPr>
            <w:tcW w:type="dxa" w:w="2400"/>
            <w:tcMar>
              <w:top w:type="dxa" w:w="80"/>
              <w:left w:type="dxa" w:w="100"/>
              <w:bottom w:type="dxa" w:w="80"/>
              <w:right w:type="dxa" w:w="100"/>
            </w:tcMar>
          </w:tcPr>
          <w:p>
            <w:r>
              <w:rPr>
                <w:b w:val="false"/>
                <w:bCs w:val="false"/>
                <w:color w:val="000000"/>
                <w:sz w:val="20"/>
                <w:szCs w:val="20"/>
              </w:rPr>
              <w:t xml:space="preserve">Business Owner</w:t>
            </w:r>
          </w:p>
        </w:tc>
        <w:tc>
          <w:tcPr>
            <w:tcW w:type="dxa" w:w="2400"/>
            <w:tcMar>
              <w:top w:type="dxa" w:w="80"/>
              <w:left w:type="dxa" w:w="100"/>
              <w:bottom w:type="dxa" w:w="80"/>
              <w:right w:type="dxa" w:w="100"/>
            </w:tcMar>
          </w:tcPr>
          <w:p>
            <w:r>
              <w:rPr>
                <w:b w:val="false"/>
                <w:bCs w:val="false"/>
                <w:color w:val="000000"/>
                <w:sz w:val="20"/>
                <w:szCs w:val="20"/>
              </w:rPr>
              <w:t xml:space="preserve"/>
            </w:r>
          </w:p>
        </w:tc>
        <w:tc>
          <w:tcPr>
            <w:tcW w:type="dxa" w:w="2400"/>
            <w:tcMar>
              <w:top w:type="dxa" w:w="80"/>
              <w:left w:type="dxa" w:w="100"/>
              <w:bottom w:type="dxa" w:w="80"/>
              <w:right w:type="dxa" w:w="100"/>
            </w:tcMar>
          </w:tcPr>
          <w:p>
            <w:r>
              <w:rPr>
                <w:b w:val="false"/>
                <w:bCs w:val="false"/>
                <w:color w:val="000000"/>
                <w:sz w:val="20"/>
                <w:szCs w:val="20"/>
              </w:rPr>
              <w:t xml:space="preserve"/>
            </w:r>
          </w:p>
        </w:tc>
        <w:tc>
          <w:tcPr>
            <w:tcW w:type="dxa" w:w="2200"/>
            <w:tcMar>
              <w:top w:type="dxa" w:w="80"/>
              <w:left w:type="dxa" w:w="100"/>
              <w:bottom w:type="dxa" w:w="80"/>
              <w:right w:type="dxa" w:w="100"/>
            </w:tcMar>
          </w:tcPr>
          <w:p>
            <w:r>
              <w:rPr>
                <w:b w:val="false"/>
                <w:bCs w:val="false"/>
                <w:color w:val="000000"/>
                <w:sz w:val="20"/>
                <w:szCs w:val="20"/>
              </w:rPr>
              <w:t xml:space="preserve"/>
            </w:r>
          </w:p>
        </w:tc>
      </w:tr>
      <w:tr>
        <w:tc>
          <w:tcPr>
            <w:tcW w:type="dxa" w:w="2400"/>
            <w:shd w:fill="F2F2F2" w:val="clear"/>
            <w:tcMar>
              <w:top w:type="dxa" w:w="80"/>
              <w:left w:type="dxa" w:w="100"/>
              <w:bottom w:type="dxa" w:w="80"/>
              <w:right w:type="dxa" w:w="100"/>
            </w:tcMar>
          </w:tcPr>
          <w:p>
            <w:r>
              <w:rPr>
                <w:b w:val="false"/>
                <w:bCs w:val="false"/>
                <w:color w:val="000000"/>
                <w:sz w:val="20"/>
                <w:szCs w:val="20"/>
              </w:rPr>
              <w:t xml:space="preserve">Requested By</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MSS</w:t>
            </w:r>
          </w:p>
        </w:tc>
        <w:tc>
          <w:tcPr>
            <w:tcW w:type="dxa" w:w="2400"/>
            <w:shd w:fill="F2F2F2" w:val="clear"/>
            <w:tcMar>
              <w:top w:type="dxa" w:w="80"/>
              <w:left w:type="dxa" w:w="100"/>
              <w:bottom w:type="dxa" w:w="80"/>
              <w:right w:type="dxa" w:w="100"/>
            </w:tcMar>
          </w:tcPr>
          <w:p>
            <w:r>
              <w:rPr>
                <w:b w:val="false"/>
                <w:bCs w:val="false"/>
                <w:color w:val="000000"/>
                <w:sz w:val="20"/>
                <w:szCs w:val="20"/>
              </w:rPr>
              <w:t xml:space="preserve"/>
            </w:r>
          </w:p>
        </w:tc>
        <w:tc>
          <w:tcPr>
            <w:tcW w:type="dxa" w:w="2200"/>
            <w:shd w:fill="F2F2F2" w:val="clear"/>
            <w:tcMar>
              <w:top w:type="dxa" w:w="80"/>
              <w:left w:type="dxa" w:w="100"/>
              <w:bottom w:type="dxa" w:w="80"/>
              <w:right w:type="dxa" w:w="100"/>
            </w:tcMar>
          </w:tcPr>
          <w:p>
            <w:r>
              <w:rPr>
                <w:b w:val="false"/>
                <w:bCs w:val="false"/>
                <w:color w:val="000000"/>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Business Requirements Document</w:t>
    </w:r>
    <w:r>
      <w:rPr>
        <w:color w:val="808080"/>
        <w:sz w:val="16"/>
        <w:szCs w:val="16"/>
      </w:rPr>
      <w:t xml:space="preserve">	Customer Health &amp; Account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2026-09-20T22:18:50.945Z</dcterms:created>
  <dcterms:modified xsi:type="dcterms:W3CDTF">2026-09-20T22:18:50.953Z</dcterms:modified>
</cp:coreProperties>
</file>

<file path=docProps/custom.xml><?xml version="1.0" encoding="utf-8"?>
<Properties xmlns="http://schemas.openxmlformats.org/officeDocument/2006/custom-properties" xmlns:vt="http://schemas.openxmlformats.org/officeDocument/2006/docPropsVTypes"/>
</file>