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JUSTIFIKASI PEMILIHAN &amp; PRINSIP KERJA KOMPONEN SI-RETAM</w:t>
      </w:r>
    </w:p>
    <w:p>
      <w:pPr>
        <w:spacing w:after="120" w:before="220" w:line="360" w:lineRule="auto"/>
      </w:pPr>
      <w:r>
        <w:rPr>
          <w:rFonts w:ascii="Times New Roman" w:cs="Times New Roman" w:eastAsia="Times New Roman" w:hAnsi="Times New Roman"/>
          <w:b/>
          <w:bCs/>
          <w:sz w:val="28"/>
          <w:szCs w:val="28"/>
        </w:rPr>
        <w:t xml:space="preserve">Bagian A — Mengapa Integrasi Ini, Bukan Alat Lain</w:t>
      </w:r>
    </w:p>
    <w:p>
      <w:pPr>
        <w:spacing w:after="120" w:line="360" w:lineRule="auto"/>
        <w:jc w:val="both"/>
      </w:pPr>
      <w:r>
        <w:rPr>
          <w:rFonts w:ascii="Times New Roman" w:cs="Times New Roman" w:eastAsia="Times New Roman" w:hAnsi="Times New Roman"/>
          <w:sz w:val="24"/>
          <w:szCs w:val="24"/>
        </w:rPr>
        <w:t xml:space="preserve">Persoalan inti bukan memisahkan monasit dari kuarsa (itu mudah karena kuarsa ringan), melainkan memisahkan monasit dari sesama mineral berat: zirkon, ilmenit, dan kasiterit. Pilihan alat ditentukan oleh sifat fisik mana yang benar-benar dapat membedakan monasit dari mineral-mineral itu. Tabel berikut merangkumnya.</w:t>
      </w:r>
    </w:p>
    <w:p>
      <w:pPr>
        <w:spacing w:after="80"/>
      </w:pPr>
      <w:r>
        <w:rPr>
          <w:sz w:val="24"/>
          <w:szCs w:val="24"/>
        </w:rPr>
        <w:t xml:space="preserve"/>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tblGrid>
      <w:tr>
        <w:trPr>
          <w:tblHeader/>
        </w:trPr>
        <w:tc>
          <w:tcPr>
            <w:tcW w:type="pct" w:w="20%"/>
            <w:shd w:fill="E3ECF7"/>
          </w:tcPr>
          <w:p>
            <w:pPr>
              <w:spacing w:after="20" w:before="20"/>
            </w:pPr>
            <w:r>
              <w:rPr>
                <w:rFonts w:ascii="Times New Roman" w:cs="Times New Roman" w:eastAsia="Times New Roman" w:hAnsi="Times New Roman"/>
                <w:b/>
                <w:bCs/>
                <w:sz w:val="22"/>
                <w:szCs w:val="22"/>
              </w:rPr>
              <w:t xml:space="preserve">Sifat</w:t>
            </w:r>
          </w:p>
        </w:tc>
        <w:tc>
          <w:tcPr>
            <w:tcW w:type="pct" w:w="22%"/>
            <w:shd w:fill="E3ECF7"/>
          </w:tcPr>
          <w:p>
            <w:pPr>
              <w:spacing w:after="20" w:before="20"/>
            </w:pPr>
            <w:r>
              <w:rPr>
                <w:rFonts w:ascii="Times New Roman" w:cs="Times New Roman" w:eastAsia="Times New Roman" w:hAnsi="Times New Roman"/>
                <w:b/>
                <w:bCs/>
                <w:sz w:val="22"/>
                <w:szCs w:val="22"/>
              </w:rPr>
              <w:t xml:space="preserve">Monasit</w:t>
            </w:r>
          </w:p>
        </w:tc>
        <w:tc>
          <w:tcPr>
            <w:tcW w:type="pct" w:w="40%"/>
            <w:shd w:fill="E3ECF7"/>
          </w:tcPr>
          <w:p>
            <w:pPr>
              <w:spacing w:after="20" w:before="20"/>
            </w:pPr>
            <w:r>
              <w:rPr>
                <w:rFonts w:ascii="Times New Roman" w:cs="Times New Roman" w:eastAsia="Times New Roman" w:hAnsi="Times New Roman"/>
                <w:b/>
                <w:bCs/>
                <w:sz w:val="22"/>
                <w:szCs w:val="22"/>
              </w:rPr>
              <w:t xml:space="preserve">Mineral lain</w:t>
            </w:r>
          </w:p>
        </w:tc>
        <w:tc>
          <w:tcPr>
            <w:tcW w:type="pct" w:w="18%"/>
            <w:shd w:fill="E3ECF7"/>
          </w:tcPr>
          <w:p>
            <w:pPr>
              <w:spacing w:after="20" w:before="20"/>
            </w:pPr>
            <w:r>
              <w:rPr>
                <w:rFonts w:ascii="Times New Roman" w:cs="Times New Roman" w:eastAsia="Times New Roman" w:hAnsi="Times New Roman"/>
                <w:b/>
                <w:bCs/>
                <w:sz w:val="22"/>
                <w:szCs w:val="22"/>
              </w:rPr>
              <w:t xml:space="preserve">Bisa isolasi monasit?</w:t>
            </w:r>
          </w:p>
        </w:tc>
      </w:tr>
      <w:tr>
        <w:tc>
          <w:tcPr>
            <w:tcW w:type="pct" w:w="20%"/>
          </w:tcPr>
          <w:p>
            <w:pPr>
              <w:spacing w:after="20" w:before="20"/>
            </w:pPr>
            <w:r>
              <w:rPr>
                <w:rFonts w:ascii="Times New Roman" w:cs="Times New Roman" w:eastAsia="Times New Roman" w:hAnsi="Times New Roman"/>
                <w:b w:val="false"/>
                <w:bCs w:val="false"/>
                <w:sz w:val="22"/>
                <w:szCs w:val="22"/>
              </w:rPr>
              <w:t xml:space="preserve">Densitas</w:t>
            </w:r>
          </w:p>
        </w:tc>
        <w:tc>
          <w:tcPr>
            <w:tcW w:type="pct" w:w="22%"/>
          </w:tcPr>
          <w:p>
            <w:pPr>
              <w:spacing w:after="20" w:before="20"/>
            </w:pPr>
            <w:r>
              <w:rPr>
                <w:rFonts w:ascii="Times New Roman" w:cs="Times New Roman" w:eastAsia="Times New Roman" w:hAnsi="Times New Roman"/>
                <w:b w:val="false"/>
                <w:bCs w:val="false"/>
                <w:sz w:val="22"/>
                <w:szCs w:val="22"/>
              </w:rPr>
              <w:t xml:space="preserve">~5,0</w:t>
            </w:r>
          </w:p>
        </w:tc>
        <w:tc>
          <w:tcPr>
            <w:tcW w:type="pct" w:w="40%"/>
          </w:tcPr>
          <w:p>
            <w:pPr>
              <w:spacing w:after="20" w:before="20"/>
            </w:pPr>
            <w:r>
              <w:rPr>
                <w:rFonts w:ascii="Times New Roman" w:cs="Times New Roman" w:eastAsia="Times New Roman" w:hAnsi="Times New Roman"/>
                <w:b w:val="false"/>
                <w:bCs w:val="false"/>
                <w:sz w:val="22"/>
                <w:szCs w:val="22"/>
              </w:rPr>
              <w:t xml:space="preserve">zirkon ~4,6; ilmenit ~4,7; rutil ~4,3 (berimpitan)</w:t>
            </w:r>
          </w:p>
        </w:tc>
        <w:tc>
          <w:tcPr>
            <w:tcW w:type="pct" w:w="18%"/>
          </w:tcPr>
          <w:p>
            <w:pPr>
              <w:spacing w:after="20" w:before="20"/>
            </w:pPr>
            <w:r>
              <w:rPr>
                <w:rFonts w:ascii="Times New Roman" w:cs="Times New Roman" w:eastAsia="Times New Roman" w:hAnsi="Times New Roman"/>
                <w:b w:val="false"/>
                <w:bCs w:val="false"/>
                <w:sz w:val="22"/>
                <w:szCs w:val="22"/>
              </w:rPr>
              <w:t xml:space="preserve">Tidak — terlalu mirip</w:t>
            </w:r>
          </w:p>
        </w:tc>
      </w:tr>
      <w:tr>
        <w:tc>
          <w:tcPr>
            <w:tcW w:type="pct" w:w="20%"/>
          </w:tcPr>
          <w:p>
            <w:pPr>
              <w:spacing w:after="20" w:before="20"/>
            </w:pPr>
            <w:r>
              <w:rPr>
                <w:rFonts w:ascii="Times New Roman" w:cs="Times New Roman" w:eastAsia="Times New Roman" w:hAnsi="Times New Roman"/>
                <w:b w:val="false"/>
                <w:bCs w:val="false"/>
                <w:sz w:val="22"/>
                <w:szCs w:val="22"/>
              </w:rPr>
              <w:t xml:space="preserve">Kerentanan magnetik</w:t>
            </w:r>
          </w:p>
        </w:tc>
        <w:tc>
          <w:tcPr>
            <w:tcW w:type="pct" w:w="22%"/>
          </w:tcPr>
          <w:p>
            <w:pPr>
              <w:spacing w:after="20" w:before="20"/>
            </w:pPr>
            <w:r>
              <w:rPr>
                <w:rFonts w:ascii="Times New Roman" w:cs="Times New Roman" w:eastAsia="Times New Roman" w:hAnsi="Times New Roman"/>
                <w:b w:val="false"/>
                <w:bCs w:val="false"/>
                <w:sz w:val="22"/>
                <w:szCs w:val="22"/>
              </w:rPr>
              <w:t xml:space="preserve">paramagnetik</w:t>
            </w:r>
          </w:p>
        </w:tc>
        <w:tc>
          <w:tcPr>
            <w:tcW w:type="pct" w:w="40%"/>
          </w:tcPr>
          <w:p>
            <w:pPr>
              <w:spacing w:after="20" w:before="20"/>
            </w:pPr>
            <w:r>
              <w:rPr>
                <w:rFonts w:ascii="Times New Roman" w:cs="Times New Roman" w:eastAsia="Times New Roman" w:hAnsi="Times New Roman"/>
                <w:b w:val="false"/>
                <w:bCs w:val="false"/>
                <w:sz w:val="22"/>
                <w:szCs w:val="22"/>
              </w:rPr>
              <w:t xml:space="preserve">ilmenit magnetik kuat; kuarsa/zirkon/kasiterit non-magnetik</w:t>
            </w:r>
          </w:p>
        </w:tc>
        <w:tc>
          <w:tcPr>
            <w:tcW w:type="pct" w:w="18%"/>
          </w:tcPr>
          <w:p>
            <w:pPr>
              <w:spacing w:after="20" w:before="20"/>
            </w:pPr>
            <w:r>
              <w:rPr>
                <w:rFonts w:ascii="Times New Roman" w:cs="Times New Roman" w:eastAsia="Times New Roman" w:hAnsi="Times New Roman"/>
                <w:b w:val="false"/>
                <w:bCs w:val="false"/>
                <w:sz w:val="22"/>
                <w:szCs w:val="22"/>
              </w:rPr>
              <w:t xml:space="preserve">Sebagian — buang non-magnetik, tapi ilmenit ikut</w:t>
            </w:r>
          </w:p>
        </w:tc>
      </w:tr>
      <w:tr>
        <w:tc>
          <w:tcPr>
            <w:tcW w:type="pct" w:w="20%"/>
          </w:tcPr>
          <w:p>
            <w:pPr>
              <w:spacing w:after="20" w:before="20"/>
            </w:pPr>
            <w:r>
              <w:rPr>
                <w:rFonts w:ascii="Times New Roman" w:cs="Times New Roman" w:eastAsia="Times New Roman" w:hAnsi="Times New Roman"/>
                <w:b w:val="false"/>
                <w:bCs w:val="false"/>
                <w:sz w:val="22"/>
                <w:szCs w:val="22"/>
              </w:rPr>
              <w:t xml:space="preserve">Konduktivitas listrik</w:t>
            </w:r>
          </w:p>
        </w:tc>
        <w:tc>
          <w:tcPr>
            <w:tcW w:type="pct" w:w="22%"/>
          </w:tcPr>
          <w:p>
            <w:pPr>
              <w:spacing w:after="20" w:before="20"/>
            </w:pPr>
            <w:r>
              <w:rPr>
                <w:rFonts w:ascii="Times New Roman" w:cs="Times New Roman" w:eastAsia="Times New Roman" w:hAnsi="Times New Roman"/>
                <w:b w:val="false"/>
                <w:bCs w:val="false"/>
                <w:sz w:val="22"/>
                <w:szCs w:val="22"/>
              </w:rPr>
              <w:t xml:space="preserve">non-konduktor</w:t>
            </w:r>
          </w:p>
        </w:tc>
        <w:tc>
          <w:tcPr>
            <w:tcW w:type="pct" w:w="40%"/>
          </w:tcPr>
          <w:p>
            <w:pPr>
              <w:spacing w:after="20" w:before="20"/>
            </w:pPr>
            <w:r>
              <w:rPr>
                <w:rFonts w:ascii="Times New Roman" w:cs="Times New Roman" w:eastAsia="Times New Roman" w:hAnsi="Times New Roman"/>
                <w:b w:val="false"/>
                <w:bCs w:val="false"/>
                <w:sz w:val="22"/>
                <w:szCs w:val="22"/>
              </w:rPr>
              <w:t xml:space="preserve">ilmenit/rutil/kasiterit konduktor; zirkon non-konduktor</w:t>
            </w:r>
          </w:p>
        </w:tc>
        <w:tc>
          <w:tcPr>
            <w:tcW w:type="pct" w:w="18%"/>
          </w:tcPr>
          <w:p>
            <w:pPr>
              <w:spacing w:after="20" w:before="20"/>
            </w:pPr>
            <w:r>
              <w:rPr>
                <w:rFonts w:ascii="Times New Roman" w:cs="Times New Roman" w:eastAsia="Times New Roman" w:hAnsi="Times New Roman"/>
                <w:b w:val="false"/>
                <w:bCs w:val="false"/>
                <w:sz w:val="22"/>
                <w:szCs w:val="22"/>
              </w:rPr>
              <w:t xml:space="preserve">Sebagian — tapi butuh umpan kering</w:t>
            </w:r>
          </w:p>
        </w:tc>
      </w:tr>
      <w:tr>
        <w:tc>
          <w:tcPr>
            <w:tcW w:type="pct" w:w="20%"/>
          </w:tcPr>
          <w:p>
            <w:pPr>
              <w:spacing w:after="20" w:before="20"/>
            </w:pPr>
            <w:r>
              <w:rPr>
                <w:rFonts w:ascii="Times New Roman" w:cs="Times New Roman" w:eastAsia="Times New Roman" w:hAnsi="Times New Roman"/>
                <w:b w:val="false"/>
                <w:bCs w:val="false"/>
                <w:sz w:val="22"/>
                <w:szCs w:val="22"/>
              </w:rPr>
              <w:t xml:space="preserve">Radioaktivitas</w:t>
            </w:r>
          </w:p>
        </w:tc>
        <w:tc>
          <w:tcPr>
            <w:tcW w:type="pct" w:w="22%"/>
          </w:tcPr>
          <w:p>
            <w:pPr>
              <w:spacing w:after="20" w:before="20"/>
            </w:pPr>
            <w:r>
              <w:rPr>
                <w:rFonts w:ascii="Times New Roman" w:cs="Times New Roman" w:eastAsia="Times New Roman" w:hAnsi="Times New Roman"/>
                <w:b w:val="false"/>
                <w:bCs w:val="false"/>
                <w:sz w:val="22"/>
                <w:szCs w:val="22"/>
              </w:rPr>
              <w:t xml:space="preserve">ya (Th/U)</w:t>
            </w:r>
          </w:p>
        </w:tc>
        <w:tc>
          <w:tcPr>
            <w:tcW w:type="pct" w:w="40%"/>
          </w:tcPr>
          <w:p>
            <w:pPr>
              <w:spacing w:after="20" w:before="20"/>
            </w:pPr>
            <w:r>
              <w:rPr>
                <w:rFonts w:ascii="Times New Roman" w:cs="Times New Roman" w:eastAsia="Times New Roman" w:hAnsi="Times New Roman"/>
                <w:b w:val="false"/>
                <w:bCs w:val="false"/>
                <w:sz w:val="22"/>
                <w:szCs w:val="22"/>
              </w:rPr>
              <w:t xml:space="preserve">ilmenit, rutil, kuarsa, kasiterit: tidak</w:t>
            </w:r>
          </w:p>
        </w:tc>
        <w:tc>
          <w:tcPr>
            <w:tcW w:type="pct" w:w="18%"/>
          </w:tcPr>
          <w:p>
            <w:pPr>
              <w:spacing w:after="20" w:before="20"/>
            </w:pPr>
            <w:r>
              <w:rPr>
                <w:rFonts w:ascii="Times New Roman" w:cs="Times New Roman" w:eastAsia="Times New Roman" w:hAnsi="Times New Roman"/>
                <w:b w:val="false"/>
                <w:bCs w:val="false"/>
                <w:sz w:val="22"/>
                <w:szCs w:val="22"/>
              </w:rPr>
              <w:t xml:space="preserve">Ya — satu-satunya yang selektif</w:t>
            </w:r>
          </w:p>
        </w:tc>
      </w:tr>
    </w:tbl>
    <w:p>
      <w:pPr>
        <w:spacing w:after="80"/>
      </w:pPr>
      <w:r>
        <w:rPr>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Keputusan yang diambil</w:t>
      </w:r>
    </w:p>
    <w:p>
      <w:pPr>
        <w:spacing w:after="120" w:line="360" w:lineRule="auto"/>
        <w:jc w:val="both"/>
      </w:pPr>
      <w:r>
        <w:rPr>
          <w:rFonts w:ascii="Times New Roman" w:cs="Times New Roman" w:eastAsia="Times New Roman" w:hAnsi="Times New Roman"/>
          <w:b/>
          <w:bCs/>
          <w:sz w:val="24"/>
          <w:szCs w:val="24"/>
        </w:rPr>
        <w:t xml:space="preserve">1. Jig / konsentrator gravitasi ditolak sebagai pemisah selektif.</w:t>
      </w:r>
      <w:r>
        <w:rPr>
          <w:rFonts w:ascii="Times New Roman" w:cs="Times New Roman" w:eastAsia="Times New Roman" w:hAnsi="Times New Roman"/>
          <w:sz w:val="24"/>
          <w:szCs w:val="24"/>
        </w:rPr>
        <w:t xml:space="preserve"> Ia hanya bekerja pada densitas, sementara monasit, zirkon, dan ilmenit berdensitas hampir sama sehingga tak terpisah. Selain itu jig sudah beroperasi di hulu; menambah tahap densitas lagi hanya mengulang proses yang sama tanpa selektivitas baru.</w:t>
      </w:r>
    </w:p>
    <w:p>
      <w:pPr>
        <w:spacing w:after="120" w:line="360" w:lineRule="auto"/>
        <w:jc w:val="both"/>
      </w:pPr>
      <w:r>
        <w:rPr>
          <w:rFonts w:ascii="Times New Roman" w:cs="Times New Roman" w:eastAsia="Times New Roman" w:hAnsi="Times New Roman"/>
          <w:b/>
          <w:bCs/>
          <w:sz w:val="24"/>
          <w:szCs w:val="24"/>
        </w:rPr>
        <w:t xml:space="preserve">2. Pemisah magnetik basah (WHIMS) dipilih sebagai pemisah fisik utama.</w:t>
      </w:r>
      <w:r>
        <w:rPr>
          <w:rFonts w:ascii="Times New Roman" w:cs="Times New Roman" w:eastAsia="Times New Roman" w:hAnsi="Times New Roman"/>
          <w:sz w:val="24"/>
          <w:szCs w:val="24"/>
        </w:rPr>
        <w:t xml:space="preserve"> Ia bekerja pada kerentanan magnetik, sifat yang berbeda dari densitas, sehingga mampu membuat belahan yang mustahil dibuat jig. Versi basahnya realistis di atas kapal, tidak memakai reagen, dan mekanismenya sederhana. Bukti relevansi: pada bahan pascapengolahan timah Bangka, pemisahan magnetik menaikkan kadar monasit dari sekitar 19% menjadi 37–46% (Widana dkk., 2024).</w:t>
      </w:r>
    </w:p>
    <w:p>
      <w:pPr>
        <w:spacing w:after="120" w:line="360" w:lineRule="auto"/>
        <w:jc w:val="both"/>
      </w:pPr>
      <w:r>
        <w:rPr>
          <w:rFonts w:ascii="Times New Roman" w:cs="Times New Roman" w:eastAsia="Times New Roman" w:hAnsi="Times New Roman"/>
          <w:b/>
          <w:bCs/>
          <w:sz w:val="24"/>
          <w:szCs w:val="24"/>
        </w:rPr>
        <w:t xml:space="preserve">3. Elektrostatik dan flotasi ditunda ke darat.</w:t>
      </w:r>
      <w:r>
        <w:rPr>
          <w:rFonts w:ascii="Times New Roman" w:cs="Times New Roman" w:eastAsia="Times New Roman" w:hAnsi="Times New Roman"/>
          <w:sz w:val="24"/>
          <w:szCs w:val="24"/>
        </w:rPr>
        <w:t xml:space="preserve"> Pemisahan elektrostatik menuntut umpan kering pada suhu tinggi sehingga tidak masuk akal dijalankan pada bubur basah di kapal. Flotasi menuntut reagen kimia, pengaturan pH, dan pengelolaan buih yang rumit dan sulit distabilkan di kapal yang bergoyang. Keduanya tetap dipakai, tetapi di darat, untuk memisahkan monasit dari ilmenit dan memurnikannya lebih lanjut.</w:t>
      </w:r>
    </w:p>
    <w:p>
      <w:pPr>
        <w:spacing w:after="120" w:line="360" w:lineRule="auto"/>
        <w:jc w:val="both"/>
      </w:pPr>
      <w:r>
        <w:rPr>
          <w:rFonts w:ascii="Times New Roman" w:cs="Times New Roman" w:eastAsia="Times New Roman" w:hAnsi="Times New Roman"/>
          <w:b/>
          <w:bCs/>
          <w:sz w:val="24"/>
          <w:szCs w:val="24"/>
        </w:rPr>
        <w:t xml:space="preserve">4. Sensor gamma dipilih sebagai otak (bukan XRF atau sekadar percaya hasil magnetik).</w:t>
      </w:r>
      <w:r>
        <w:rPr>
          <w:rFonts w:ascii="Times New Roman" w:cs="Times New Roman" w:eastAsia="Times New Roman" w:hAnsi="Times New Roman"/>
          <w:sz w:val="24"/>
          <w:szCs w:val="24"/>
        </w:rPr>
        <w:t xml:space="preserve"> Fraksi magnetik masih bercampur ilmenit; kita perlu tahu berapa yang benar-benar monasit. Gamma unik karena selektif (hanya monasit radioaktif), kuantitatif (aktivitas sebanding dengan kadar monasit), dan non-kontak (menembus dinding pipa dan membaca material secara menyeluruh, bukan hanya permukaan). Alternatif XRF hanya membaca permukaan, peka terhadap kadar air dan matriks, dan tidak memanfaatkan keunikan radioaktif monasit.</w:t>
      </w:r>
    </w:p>
    <w:p>
      <w:pPr>
        <w:spacing w:after="120" w:line="360" w:lineRule="auto"/>
        <w:jc w:val="both"/>
      </w:pPr>
      <w:r>
        <w:rPr>
          <w:rFonts w:ascii="Times New Roman" w:cs="Times New Roman" w:eastAsia="Times New Roman" w:hAnsi="Times New Roman"/>
          <w:b/>
          <w:bCs/>
          <w:sz w:val="24"/>
          <w:szCs w:val="24"/>
        </w:rPr>
        <w:t xml:space="preserve">5. Ditempatkan di atas KIP, bukan di darat.</w:t>
      </w:r>
      <w:r>
        <w:rPr>
          <w:rFonts w:ascii="Times New Roman" w:cs="Times New Roman" w:eastAsia="Times New Roman" w:hAnsi="Times New Roman"/>
          <w:sz w:val="24"/>
          <w:szCs w:val="24"/>
        </w:rPr>
        <w:t xml:space="preserve"> Alasannya: memverifikasi material sebelum dilepas ke lingkungan, memusatkan material pembawa radionuklida menjadi satu aliran kecil terkendali di sumbernya (mayoritas kuarsa langsung dikembalikan, hanya konsentrat kecil yang diangkut), dan menjaga monasit keluar dari aliran konsentrat timah sejak awal. Perlu diakui jujur bahwa model pengolahan di darat, seperti pabrik amang Malaysia yang mengolah tumpukan tailing, juga sah; penempatan di kapal adalah pilihan desain yang menekankan penanganan sebelum pelepasan, bukan sesuatu yang sudah terbukti paling optimal.</w:t>
      </w:r>
    </w:p>
    <w:p>
      <w:pPr>
        <w:spacing w:after="120" w:before="220" w:line="360" w:lineRule="auto"/>
      </w:pPr>
      <w:r>
        <w:rPr>
          <w:rFonts w:ascii="Times New Roman" w:cs="Times New Roman" w:eastAsia="Times New Roman" w:hAnsi="Times New Roman"/>
          <w:b/>
          <w:bCs/>
          <w:sz w:val="28"/>
          <w:szCs w:val="28"/>
        </w:rPr>
        <w:t xml:space="preserve">Bagian B — Prinsip Kerja Tiap Komponen</w:t>
      </w:r>
    </w:p>
    <w:p>
      <w:pPr>
        <w:spacing w:after="80" w:before="160" w:line="360" w:lineRule="auto"/>
      </w:pPr>
      <w:r>
        <w:rPr>
          <w:rFonts w:ascii="Times New Roman" w:cs="Times New Roman" w:eastAsia="Times New Roman" w:hAnsi="Times New Roman"/>
          <w:b/>
          <w:bCs/>
          <w:sz w:val="24"/>
          <w:szCs w:val="24"/>
        </w:rPr>
        <w:t xml:space="preserve">1. Pengkondisi umpan (tangki penstabil dan de-aerasi)</w:t>
      </w:r>
    </w:p>
    <w:p>
      <w:pPr>
        <w:spacing w:after="120" w:line="360" w:lineRule="auto"/>
        <w:jc w:val="both"/>
      </w:pPr>
      <w:r>
        <w:rPr>
          <w:rFonts w:ascii="Times New Roman" w:cs="Times New Roman" w:eastAsia="Times New Roman" w:hAnsi="Times New Roman"/>
          <w:b/>
          <w:bCs/>
          <w:sz w:val="24"/>
          <w:szCs w:val="24"/>
        </w:rPr>
        <w:t xml:space="preserve">Yang dilakukan:</w:t>
      </w:r>
      <w:r>
        <w:rPr>
          <w:rFonts w:ascii="Times New Roman" w:cs="Times New Roman" w:eastAsia="Times New Roman" w:hAnsi="Times New Roman"/>
          <w:sz w:val="24"/>
          <w:szCs w:val="24"/>
        </w:rPr>
        <w:t xml:space="preserve"> menerima tailing yang keluar berdenyut dari jig, meredam lonjakan aliran, membuang gelembung udara yang terperangkap, menyeragamkan kandungan padatan, lalu mengalirkannya dengan laju dan kekentalan yang stabil.</w:t>
      </w:r>
    </w:p>
    <w:p>
      <w:pPr>
        <w:spacing w:after="120" w:line="360" w:lineRule="auto"/>
        <w:jc w:val="both"/>
      </w:pPr>
      <w:r>
        <w:rPr>
          <w:rFonts w:ascii="Times New Roman" w:cs="Times New Roman" w:eastAsia="Times New Roman" w:hAnsi="Times New Roman"/>
          <w:b/>
          <w:bCs/>
          <w:sz w:val="24"/>
          <w:szCs w:val="24"/>
        </w:rPr>
        <w:t xml:space="preserve">Bagaimana:</w:t>
      </w:r>
      <w:r>
        <w:rPr>
          <w:rFonts w:ascii="Times New Roman" w:cs="Times New Roman" w:eastAsia="Times New Roman" w:hAnsi="Times New Roman"/>
          <w:sz w:val="24"/>
          <w:szCs w:val="24"/>
        </w:rPr>
        <w:t xml:space="preserve"> tangki ini berfungsi sebagai penampung penyangga (buffer) dengan keluaran terkontrol; ia bekerja seperti kapasitor hidraulik yang menghaluskan fluktuasi laju alir. Gelembung udara naik dan dibuang karena gaya apung, sebab udara yang terperangkap mengubah densitas semu dan mengganggu baik penangkapan magnetik maupun pembacaan gamma. Sebuah pengukur densitas menjaga persen padatan tetap konstan.</w:t>
      </w:r>
    </w:p>
    <w:p>
      <w:pPr>
        <w:spacing w:after="120" w:line="360" w:lineRule="auto"/>
        <w:jc w:val="both"/>
      </w:pPr>
      <w:r>
        <w:rPr>
          <w:rFonts w:ascii="Times New Roman" w:cs="Times New Roman" w:eastAsia="Times New Roman" w:hAnsi="Times New Roman"/>
          <w:b/>
          <w:bCs/>
          <w:sz w:val="24"/>
          <w:szCs w:val="24"/>
        </w:rPr>
        <w:t xml:space="preserve">Ilmu yang melandasi:</w:t>
      </w:r>
      <w:r>
        <w:rPr>
          <w:rFonts w:ascii="Times New Roman" w:cs="Times New Roman" w:eastAsia="Times New Roman" w:hAnsi="Times New Roman"/>
          <w:sz w:val="24"/>
          <w:szCs w:val="24"/>
        </w:rPr>
        <w:t xml:space="preserve"> mekanika fluida — asas kekekalan massa (kontinuitas) untuk aliran mantap, asas Archimedes (gaya apung) untuk de-aerasi, konsep kapasitansi hidraulik dan waktu tinggal untuk meredam lonjakan, serta reologi bubur (ada kecepatan minimum agar padatan tetap melayang dan tidak mengendap). Intinya: gaya magnet pada partikel dan laju cacah gamma sama-sama bergantung pada aliran yang stabil, sehingga menstabilkan umpan sama dengan membuat pengukuran menjadi sahih.</w:t>
      </w:r>
    </w:p>
    <w:p>
      <w:pPr>
        <w:spacing w:after="80" w:before="160" w:line="360" w:lineRule="auto"/>
      </w:pPr>
      <w:r>
        <w:rPr>
          <w:rFonts w:ascii="Times New Roman" w:cs="Times New Roman" w:eastAsia="Times New Roman" w:hAnsi="Times New Roman"/>
          <w:b/>
          <w:bCs/>
          <w:sz w:val="24"/>
          <w:szCs w:val="24"/>
        </w:rPr>
        <w:t xml:space="preserve">2. Pemisah magnetik basah intensitas tinggi (WHIMS)</w:t>
      </w:r>
    </w:p>
    <w:p>
      <w:pPr>
        <w:spacing w:after="120" w:line="360" w:lineRule="auto"/>
        <w:jc w:val="both"/>
      </w:pPr>
      <w:r>
        <w:rPr>
          <w:rFonts w:ascii="Times New Roman" w:cs="Times New Roman" w:eastAsia="Times New Roman" w:hAnsi="Times New Roman"/>
          <w:b/>
          <w:bCs/>
          <w:sz w:val="24"/>
          <w:szCs w:val="24"/>
        </w:rPr>
        <w:t xml:space="preserve">Yang dilakukan:</w:t>
      </w:r>
      <w:r>
        <w:rPr>
          <w:rFonts w:ascii="Times New Roman" w:cs="Times New Roman" w:eastAsia="Times New Roman" w:hAnsi="Times New Roman"/>
          <w:sz w:val="24"/>
          <w:szCs w:val="24"/>
        </w:rPr>
        <w:t xml:space="preserve"> melewatkan bubur melalui daerah bermedan magnet kuat yang diisi matriks baja (misalnya wol baja atau pelat beralur). Partikel magnetik (monasit yang paramagnetik dan ilmenit yang magnetik kuat) tertangkap dan tertahan pada matriks, sementara partikel non-magnetik (kuarsa, zirkon, kasiterit) mengalir lolos. Setelah itu medan dimatikan dan fraksi magnetik dibilas keluar sebagai aliran tersendiri.</w:t>
      </w:r>
    </w:p>
    <w:p>
      <w:pPr>
        <w:spacing w:after="120" w:line="360" w:lineRule="auto"/>
        <w:jc w:val="both"/>
      </w:pPr>
      <w:r>
        <w:rPr>
          <w:rFonts w:ascii="Times New Roman" w:cs="Times New Roman" w:eastAsia="Times New Roman" w:hAnsi="Times New Roman"/>
          <w:b/>
          <w:bCs/>
          <w:sz w:val="24"/>
          <w:szCs w:val="24"/>
        </w:rPr>
        <w:t xml:space="preserve">Bagaimana:</w:t>
      </w:r>
      <w:r>
        <w:rPr>
          <w:rFonts w:ascii="Times New Roman" w:cs="Times New Roman" w:eastAsia="Times New Roman" w:hAnsi="Times New Roman"/>
          <w:sz w:val="24"/>
          <w:szCs w:val="24"/>
        </w:rPr>
        <w:t xml:space="preserve"> gaya magnet pada partikel sebanding dengan volume partikel dikali kerentanan magnetiknya dikali kuat medan dikali gradien medan. Matriks baja menciptakan gradien medan lokal yang sangat tajam pada tepi-tepinya, dan gradien inilah yang melipatgandakan gaya; itu sebabnya disebut gradien tinggi. Mineral paramagnetik seperti monasit hanya punya kerentanan kecil, sehingga butuh medan tinggi (1–2 Tesla) agar tertangkap; itu sebabnya disebut intensitas tinggi. Pemisahan terjadi karena keseimbangan gaya: bagi partikel magnetik, gaya magnet mengalahkan gaya seret aliran dan gravitasi; bagi non-magnetik, tidak.</w:t>
      </w:r>
    </w:p>
    <w:p>
      <w:pPr>
        <w:spacing w:after="120" w:line="360" w:lineRule="auto"/>
        <w:jc w:val="both"/>
      </w:pPr>
      <w:r>
        <w:rPr>
          <w:rFonts w:ascii="Times New Roman" w:cs="Times New Roman" w:eastAsia="Times New Roman" w:hAnsi="Times New Roman"/>
          <w:b/>
          <w:bCs/>
          <w:sz w:val="24"/>
          <w:szCs w:val="24"/>
        </w:rPr>
        <w:t xml:space="preserve">Ilmu yang melandasi:</w:t>
      </w:r>
      <w:r>
        <w:rPr>
          <w:rFonts w:ascii="Times New Roman" w:cs="Times New Roman" w:eastAsia="Times New Roman" w:hAnsi="Times New Roman"/>
          <w:sz w:val="24"/>
          <w:szCs w:val="24"/>
        </w:rPr>
        <w:t xml:space="preserve"> kemagnetan bahan (paramagnetik vs diamagnetik), persamaan gaya magnet pada partikel, dan keseimbangan gaya (magnet vs seret fluida vs gravitasi). Ini benar-benar berbeda dari jig, yang memakai densitas dan denyut air (stratifikasi berdasarkan kecepatan mengendap), tanpa kemagnetan sama sekali. </w:t>
      </w:r>
      <w:r>
        <w:rPr>
          <w:rFonts w:ascii="Times New Roman" w:cs="Times New Roman" w:eastAsia="Times New Roman" w:hAnsi="Times New Roman"/>
          <w:b/>
          <w:bCs/>
          <w:sz w:val="24"/>
          <w:szCs w:val="24"/>
        </w:rPr>
        <w:t xml:space="preserve">Batas jujurnya:</w:t>
      </w:r>
      <w:r>
        <w:rPr>
          <w:rFonts w:ascii="Times New Roman" w:cs="Times New Roman" w:eastAsia="Times New Roman" w:hAnsi="Times New Roman"/>
          <w:sz w:val="24"/>
          <w:szCs w:val="24"/>
        </w:rPr>
        <w:t xml:space="preserve"> gaya magnet sebanding dengan diameter pangkat tiga sedangkan gaya seret hanya sebanding dengan diameter, sehingga pada butir sangat halus gaya magnet mengecil lebih cepat daripada seret dan partikel halus lolos — inilah dasar keterbatasan fraksi ultrahalus.</w:t>
      </w:r>
    </w:p>
    <w:p>
      <w:pPr>
        <w:spacing w:after="80" w:before="160" w:line="360" w:lineRule="auto"/>
      </w:pPr>
      <w:r>
        <w:rPr>
          <w:rFonts w:ascii="Times New Roman" w:cs="Times New Roman" w:eastAsia="Times New Roman" w:hAnsi="Times New Roman"/>
          <w:b/>
          <w:bCs/>
          <w:sz w:val="24"/>
          <w:szCs w:val="24"/>
        </w:rPr>
        <w:t xml:space="preserve">3. Sensor gamma dan PLC (spektrometri gamma sebagai pengukur kadar)</w:t>
      </w:r>
    </w:p>
    <w:p>
      <w:pPr>
        <w:spacing w:after="120" w:line="360" w:lineRule="auto"/>
        <w:jc w:val="both"/>
      </w:pPr>
      <w:r>
        <w:rPr>
          <w:rFonts w:ascii="Times New Roman" w:cs="Times New Roman" w:eastAsia="Times New Roman" w:hAnsi="Times New Roman"/>
          <w:b/>
          <w:bCs/>
          <w:sz w:val="24"/>
          <w:szCs w:val="24"/>
        </w:rPr>
        <w:t xml:space="preserve">Yang dilakukan:</w:t>
      </w:r>
      <w:r>
        <w:rPr>
          <w:rFonts w:ascii="Times New Roman" w:cs="Times New Roman" w:eastAsia="Times New Roman" w:hAnsi="Times New Roman"/>
          <w:sz w:val="24"/>
          <w:szCs w:val="24"/>
        </w:rPr>
        <w:t xml:space="preserve"> detektor kilau yang dipasang di luar pipa mencacah foton gamma dari material yang lewat, memilahnya menurut energi untuk mengenali sidik deret Th/U, mengubah laju cacah menjadi aktivitas, lalu lewat kurva kalibrasi menjadi kadar monasit; PLC membandingkannya dengan ambang dan menggerakkan katup.</w:t>
      </w:r>
    </w:p>
    <w:p>
      <w:pPr>
        <w:spacing w:after="120" w:line="360" w:lineRule="auto"/>
        <w:jc w:val="both"/>
      </w:pPr>
      <w:r>
        <w:rPr>
          <w:rFonts w:ascii="Times New Roman" w:cs="Times New Roman" w:eastAsia="Times New Roman" w:hAnsi="Times New Roman"/>
          <w:b/>
          <w:bCs/>
          <w:sz w:val="24"/>
          <w:szCs w:val="24"/>
        </w:rPr>
        <w:t xml:space="preserve">Bagaimana, rantai fisikanya:</w:t>
      </w:r>
      <w:r>
        <w:rPr>
          <w:rFonts w:ascii="Times New Roman" w:cs="Times New Roman" w:eastAsia="Times New Roman" w:hAnsi="Times New Roman"/>
          <w:sz w:val="24"/>
          <w:szCs w:val="24"/>
        </w:rPr>
        <w:t xml:space="preserve"> deret luruh Th-232 dan U-238 memancarkan gamma pada energi khas (misalnya Pb-212 pada 239 keV dan Tl-208 pada 2,61 MeV untuk deret torium) yang berfungsi sebagai sidik jari. Foton gamma menumbuk kristal NaI(Tl) dan memicu kilau cahaya yang sebanding dengan energinya; tabung pengganda foto (PMT) mengubah kilau itu menjadi pulsa listrik dan memperkuatnya melalui efek fotolistrik dan penggandaan elektron; penganalisis salur ganda (MCA) memilah pulsa menurut tingginya, yaitu menurut energi, membentuk spektrum tempat puncak Th/U dibaca dan latar dikurangi. Ketelitian mengikuti statistik Poisson: ketidakpastian relatif kira-kira satu dibagi akar jumlah cacah, sehingga makin banyak cacah makin teliti.</w:t>
      </w:r>
    </w:p>
    <w:p>
      <w:pPr>
        <w:spacing w:after="120" w:line="360" w:lineRule="auto"/>
        <w:jc w:val="both"/>
      </w:pPr>
      <w:r>
        <w:rPr>
          <w:rFonts w:ascii="Times New Roman" w:cs="Times New Roman" w:eastAsia="Times New Roman" w:hAnsi="Times New Roman"/>
          <w:b/>
          <w:bCs/>
          <w:sz w:val="24"/>
          <w:szCs w:val="24"/>
        </w:rPr>
        <w:t xml:space="preserve">Ilmu yang melandasi:</w:t>
      </w:r>
      <w:r>
        <w:rPr>
          <w:rFonts w:ascii="Times New Roman" w:cs="Times New Roman" w:eastAsia="Times New Roman" w:hAnsi="Times New Roman"/>
          <w:sz w:val="24"/>
          <w:szCs w:val="24"/>
        </w:rPr>
        <w:t xml:space="preserve"> fisika inti (peluruhan radioaktif dan pancaran gamma), efek fotolistrik dan pendaran (skintilasi), statistik cacah Poisson, dan kalibrasi. Kuncinya: gamma menembus materi (tidak seperti alfa atau beta), sehingga dapat dibaca menembus dinding pipa dan mewakili keseluruhan material, bukan hanya permukaan — ideal untuk sensor inline non-kontak. Dan karena di antara mineral ini hanya monasit yang memancarkan gamma tersebut, pembacaan gamma pada dasarnya adalah pembacaan kadar monasit.</w:t>
      </w:r>
    </w:p>
    <w:p>
      <w:pPr>
        <w:spacing w:after="80" w:before="160" w:line="360" w:lineRule="auto"/>
      </w:pPr>
      <w:r>
        <w:rPr>
          <w:rFonts w:ascii="Times New Roman" w:cs="Times New Roman" w:eastAsia="Times New Roman" w:hAnsi="Times New Roman"/>
          <w:b/>
          <w:bCs/>
          <w:sz w:val="24"/>
          <w:szCs w:val="24"/>
        </w:rPr>
        <w:t xml:space="preserve">4. Katup pengarah (pinch valve)</w:t>
      </w:r>
    </w:p>
    <w:p>
      <w:pPr>
        <w:spacing w:after="120" w:line="360" w:lineRule="auto"/>
        <w:jc w:val="both"/>
      </w:pPr>
      <w:r>
        <w:rPr>
          <w:rFonts w:ascii="Times New Roman" w:cs="Times New Roman" w:eastAsia="Times New Roman" w:hAnsi="Times New Roman"/>
          <w:b/>
          <w:bCs/>
          <w:sz w:val="24"/>
          <w:szCs w:val="24"/>
        </w:rPr>
        <w:t xml:space="preserve">Yang dilakukan:</w:t>
      </w:r>
      <w:r>
        <w:rPr>
          <w:rFonts w:ascii="Times New Roman" w:cs="Times New Roman" w:eastAsia="Times New Roman" w:hAnsi="Times New Roman"/>
          <w:sz w:val="24"/>
          <w:szCs w:val="24"/>
        </w:rPr>
        <w:t xml:space="preserve"> pembelok dua arah yang mengarahkan aliran bubur ke salah satu dari dua keluaran berdasarkan sinyal PLC.</w:t>
      </w:r>
    </w:p>
    <w:p>
      <w:pPr>
        <w:spacing w:after="120" w:line="360" w:lineRule="auto"/>
        <w:jc w:val="both"/>
      </w:pPr>
      <w:r>
        <w:rPr>
          <w:rFonts w:ascii="Times New Roman" w:cs="Times New Roman" w:eastAsia="Times New Roman" w:hAnsi="Times New Roman"/>
          <w:b/>
          <w:bCs/>
          <w:sz w:val="24"/>
          <w:szCs w:val="24"/>
        </w:rPr>
        <w:t xml:space="preserve">Bagaimana:</w:t>
      </w:r>
      <w:r>
        <w:rPr>
          <w:rFonts w:ascii="Times New Roman" w:cs="Times New Roman" w:eastAsia="Times New Roman" w:hAnsi="Times New Roman"/>
          <w:sz w:val="24"/>
          <w:szCs w:val="24"/>
        </w:rPr>
        <w:t xml:space="preserve"> katup jepit memiliki selongsong karet lentur yang dijepit atau dibuka oleh aktuator pneumatik; menjepit satu cabang memaksa aliran ke cabang lain. Ia dipilih karena bubur bersifat abrasif, sedangkan katup jepit berlubang penuh dan mulus tanpa celah atau dudukan logam yang mudah tergerus atau tersumbat — satu-satunya bagian yang terkena bubur adalah selongsong karet yang bisa diganti. Katup gerbang atau bola akan cepat aus dan macet oleh pasir.</w:t>
      </w:r>
    </w:p>
    <w:p>
      <w:pPr>
        <w:spacing w:after="120" w:line="360" w:lineRule="auto"/>
        <w:jc w:val="both"/>
      </w:pPr>
      <w:r>
        <w:rPr>
          <w:rFonts w:ascii="Times New Roman" w:cs="Times New Roman" w:eastAsia="Times New Roman" w:hAnsi="Times New Roman"/>
          <w:b/>
          <w:bCs/>
          <w:sz w:val="24"/>
          <w:szCs w:val="24"/>
        </w:rPr>
        <w:t xml:space="preserve">Ilmu yang melandasi:</w:t>
      </w:r>
      <w:r>
        <w:rPr>
          <w:rFonts w:ascii="Times New Roman" w:cs="Times New Roman" w:eastAsia="Times New Roman" w:hAnsi="Times New Roman"/>
          <w:sz w:val="24"/>
          <w:szCs w:val="24"/>
        </w:rPr>
        <w:t xml:space="preserve"> mekanika aktuasi pneumatik dan deformasi elastis selongsong, serta pertimbangan ketahanan aus terhadap bubur abrasif. Satu hal penting: ada jeda tempuh antara sensor dan katup, sehingga PLC harus menunda perintah persis selama waktu tempuh itu agar katup membelokkan bongkahan aliran yang sama dengan yang tadi diukur. Katup tidak memisahkan apa pun — ia hanya membelokkan seluruh segmen aliran.</w:t>
      </w:r>
    </w:p>
    <w:p>
      <w:pPr>
        <w:spacing w:after="80" w:before="160" w:line="360" w:lineRule="auto"/>
      </w:pPr>
      <w:r>
        <w:rPr>
          <w:rFonts w:ascii="Times New Roman" w:cs="Times New Roman" w:eastAsia="Times New Roman" w:hAnsi="Times New Roman"/>
          <w:b/>
          <w:bCs/>
          <w:sz w:val="24"/>
          <w:szCs w:val="24"/>
        </w:rPr>
        <w:t xml:space="preserve">5. Bunker berperisai</w:t>
      </w:r>
    </w:p>
    <w:p>
      <w:pPr>
        <w:spacing w:after="120" w:line="360" w:lineRule="auto"/>
        <w:jc w:val="both"/>
      </w:pPr>
      <w:r>
        <w:rPr>
          <w:rFonts w:ascii="Times New Roman" w:cs="Times New Roman" w:eastAsia="Times New Roman" w:hAnsi="Times New Roman"/>
          <w:b/>
          <w:bCs/>
          <w:sz w:val="24"/>
          <w:szCs w:val="24"/>
        </w:rPr>
        <w:t xml:space="preserve">Yang dilakukan:</w:t>
      </w:r>
      <w:r>
        <w:rPr>
          <w:rFonts w:ascii="Times New Roman" w:cs="Times New Roman" w:eastAsia="Times New Roman" w:hAnsi="Times New Roman"/>
          <w:sz w:val="24"/>
          <w:szCs w:val="24"/>
        </w:rPr>
        <w:t xml:space="preserve"> menyimpan konsentrat kaya monasit (yang sudah ditiriskan) sampai diangkut ke darat.</w:t>
      </w:r>
    </w:p>
    <w:p>
      <w:pPr>
        <w:spacing w:after="120" w:line="360" w:lineRule="auto"/>
        <w:jc w:val="both"/>
      </w:pPr>
      <w:r>
        <w:rPr>
          <w:rFonts w:ascii="Times New Roman" w:cs="Times New Roman" w:eastAsia="Times New Roman" w:hAnsi="Times New Roman"/>
          <w:b/>
          <w:bCs/>
          <w:sz w:val="24"/>
          <w:szCs w:val="24"/>
        </w:rPr>
        <w:t xml:space="preserve">Bagaimana:</w:t>
      </w:r>
      <w:r>
        <w:rPr>
          <w:rFonts w:ascii="Times New Roman" w:cs="Times New Roman" w:eastAsia="Times New Roman" w:hAnsi="Times New Roman"/>
          <w:sz w:val="24"/>
          <w:szCs w:val="24"/>
        </w:rPr>
        <w:t xml:space="preserve"> monasit yang terpekatkan adalah pemancar gamma kuat, dan perisai menahan gamma. Peredaman gamma mengikuti hukum eksponensial, yaitu intensitas menurun sebagai fungsi eksponen dari tebal dan koefisien serap bahan; bahan padat bernomor atom tinggi seperti timbal, atau baja dan beton tebal, menyerap lebih banyak per sentimeter. Dengan dinding berperisai, laju dosis di luar bunker ditekan ke tingkat aman.</w:t>
      </w:r>
    </w:p>
    <w:p>
      <w:pPr>
        <w:spacing w:after="120" w:line="360" w:lineRule="auto"/>
        <w:jc w:val="both"/>
      </w:pPr>
      <w:r>
        <w:rPr>
          <w:rFonts w:ascii="Times New Roman" w:cs="Times New Roman" w:eastAsia="Times New Roman" w:hAnsi="Times New Roman"/>
          <w:b/>
          <w:bCs/>
          <w:sz w:val="24"/>
          <w:szCs w:val="24"/>
        </w:rPr>
        <w:t xml:space="preserve">Ilmu yang melandasi:</w:t>
      </w:r>
      <w:r>
        <w:rPr>
          <w:rFonts w:ascii="Times New Roman" w:cs="Times New Roman" w:eastAsia="Times New Roman" w:hAnsi="Times New Roman"/>
          <w:sz w:val="24"/>
          <w:szCs w:val="24"/>
        </w:rPr>
        <w:t xml:space="preserve"> peredaman gamma (serapan eksponensial dan koefisien atenuasi), serta asas proteksi radiasi (dosis dikurangi dengan menambah jarak, mengurangi waktu, dan menambah perisai). Ketebalan perisai adalah hasil perhitungan berdasarkan aktivitas nyata, sehingga rancangan menyebut "perisai sesuai kajian keselamatan", bukan memaku tebal timbal tertentu.</w:t>
      </w:r>
    </w:p>
    <w:p>
      <w:pPr>
        <w:spacing w:after="80" w:before="160" w:line="360" w:lineRule="auto"/>
      </w:pPr>
      <w:r>
        <w:rPr>
          <w:rFonts w:ascii="Times New Roman" w:cs="Times New Roman" w:eastAsia="Times New Roman" w:hAnsi="Times New Roman"/>
          <w:b/>
          <w:bCs/>
          <w:sz w:val="24"/>
          <w:szCs w:val="24"/>
        </w:rPr>
        <w:t xml:space="preserve">Opsional — Desliming (hidrosiklon) di hulu</w:t>
      </w:r>
    </w:p>
    <w:p>
      <w:pPr>
        <w:spacing w:after="120" w:line="360" w:lineRule="auto"/>
        <w:jc w:val="both"/>
      </w:pPr>
      <w:r>
        <w:rPr>
          <w:rFonts w:ascii="Times New Roman" w:cs="Times New Roman" w:eastAsia="Times New Roman" w:hAnsi="Times New Roman"/>
          <w:b/>
          <w:bCs/>
          <w:sz w:val="24"/>
          <w:szCs w:val="24"/>
        </w:rPr>
        <w:t xml:space="preserve">Yang dilakukan:</w:t>
      </w:r>
      <w:r>
        <w:rPr>
          <w:rFonts w:ascii="Times New Roman" w:cs="Times New Roman" w:eastAsia="Times New Roman" w:hAnsi="Times New Roman"/>
          <w:sz w:val="24"/>
          <w:szCs w:val="24"/>
        </w:rPr>
        <w:t xml:space="preserve"> memisahkan partikel halus dari yang lebih kasar berdasarkan kecepatan mengendap. </w:t>
      </w:r>
      <w:r>
        <w:rPr>
          <w:rFonts w:ascii="Times New Roman" w:cs="Times New Roman" w:eastAsia="Times New Roman" w:hAnsi="Times New Roman"/>
          <w:b/>
          <w:bCs/>
          <w:sz w:val="24"/>
          <w:szCs w:val="24"/>
        </w:rPr>
        <w:t xml:space="preserve">Bagaimana:</w:t>
      </w:r>
      <w:r>
        <w:rPr>
          <w:rFonts w:ascii="Times New Roman" w:cs="Times New Roman" w:eastAsia="Times New Roman" w:hAnsi="Times New Roman"/>
          <w:sz w:val="24"/>
          <w:szCs w:val="24"/>
        </w:rPr>
        <w:t xml:space="preserve"> bubur masuk secara tangensial dengan kecepatan tinggi dan membentuk pusaran; gaya sentrifugal melempar partikel kasar ke dinding lalu turun ke keluaran bawah, sedangkan partikel halus terbawa ke keluaran atas. </w:t>
      </w:r>
      <w:r>
        <w:rPr>
          <w:rFonts w:ascii="Times New Roman" w:cs="Times New Roman" w:eastAsia="Times New Roman" w:hAnsi="Times New Roman"/>
          <w:b/>
          <w:bCs/>
          <w:sz w:val="24"/>
          <w:szCs w:val="24"/>
        </w:rPr>
        <w:t xml:space="preserve">Ilmu yang melandasi:</w:t>
      </w:r>
      <w:r>
        <w:rPr>
          <w:rFonts w:ascii="Times New Roman" w:cs="Times New Roman" w:eastAsia="Times New Roman" w:hAnsi="Times New Roman"/>
          <w:sz w:val="24"/>
          <w:szCs w:val="24"/>
        </w:rPr>
        <w:t xml:space="preserve"> sedimentasi sentrifugal dan hukum Stokes (kecepatan mengendap sebanding dengan kuadrat diameter dan selisih densitas). Tanpa bagian bergerak, alat ini murah dan tahan lama. Gunanya melindungi matriks magnetik dari sumbatan lumpur ultrahalus yang memang tidak dapat dipulihkan.</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2026-08-06T08:44:44.492Z</dcterms:created>
  <dcterms:modified xsi:type="dcterms:W3CDTF">2026-08-06T08:44:44.511Z</dcterms:modified>
</cp:coreProperties>
</file>

<file path=docProps/custom.xml><?xml version="1.0" encoding="utf-8"?>
<Properties xmlns="http://schemas.openxmlformats.org/officeDocument/2006/custom-properties" xmlns:vt="http://schemas.openxmlformats.org/officeDocument/2006/docPropsVTypes"/>
</file>