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5A1" w:rsidRDefault="00F845A1" w:rsidP="00F845A1">
      <w:pPr>
        <w:pStyle w:val="Kop1"/>
      </w:pPr>
      <w:bookmarkStart w:id="0" w:name="_Toc50486523"/>
      <w:r>
        <w:t>Hogere planten</w:t>
      </w:r>
      <w:bookmarkEnd w:id="0"/>
    </w:p>
    <w:p w:rsidR="00F845A1" w:rsidRDefault="00F845A1" w:rsidP="00F845A1">
      <w:r>
        <w:t xml:space="preserve">Fichenummers: S-DS-V-001 – Hogere planten; </w:t>
      </w:r>
      <w:r w:rsidRPr="00F35354">
        <w:t>P-DS-V-001a</w:t>
      </w:r>
      <w:r>
        <w:t xml:space="preserve"> - Hogere planten)</w:t>
      </w:r>
    </w:p>
    <w:p w:rsidR="00F845A1" w:rsidRDefault="00F845A1" w:rsidP="00F845A1">
      <w:pPr>
        <w:rPr>
          <w:b/>
        </w:rPr>
      </w:pPr>
      <w:r w:rsidRPr="00B50233">
        <w:rPr>
          <w:b/>
        </w:rPr>
        <w:t>Bart Vandevoorde</w:t>
      </w:r>
      <w:r>
        <w:rPr>
          <w:b/>
        </w:rPr>
        <w:t xml:space="preserve"> &amp; </w:t>
      </w:r>
      <w:proofErr w:type="spellStart"/>
      <w:r>
        <w:rPr>
          <w:b/>
        </w:rPr>
        <w:t>Frederik</w:t>
      </w:r>
      <w:proofErr w:type="spellEnd"/>
      <w:r>
        <w:rPr>
          <w:b/>
        </w:rPr>
        <w:t xml:space="preserve"> Van </w:t>
      </w:r>
      <w:proofErr w:type="spellStart"/>
      <w:r>
        <w:rPr>
          <w:b/>
        </w:rPr>
        <w:t>Lierop</w:t>
      </w:r>
      <w:proofErr w:type="spellEnd"/>
    </w:p>
    <w:p w:rsidR="00F845A1" w:rsidRDefault="00F845A1" w:rsidP="00F845A1">
      <w:pPr>
        <w:pStyle w:val="Kop2"/>
        <w:tabs>
          <w:tab w:val="clear" w:pos="3686"/>
          <w:tab w:val="num" w:pos="576"/>
          <w:tab w:val="left" w:pos="851"/>
        </w:tabs>
        <w:spacing w:before="180" w:after="120"/>
        <w:ind w:left="576" w:hanging="576"/>
        <w:contextualSpacing w:val="0"/>
      </w:pPr>
      <w:bookmarkStart w:id="1" w:name="_Toc484173755"/>
      <w:bookmarkStart w:id="2" w:name="_Toc514055150"/>
      <w:bookmarkStart w:id="3" w:name="_Toc50486524"/>
      <w:r>
        <w:t>Inleiding</w:t>
      </w:r>
      <w:bookmarkEnd w:id="1"/>
      <w:bookmarkEnd w:id="2"/>
      <w:bookmarkEnd w:id="3"/>
    </w:p>
    <w:p w:rsidR="00F845A1" w:rsidRDefault="00F845A1" w:rsidP="00F845A1">
      <w:r>
        <w:t xml:space="preserve">Op de schorren van het </w:t>
      </w:r>
      <w:proofErr w:type="spellStart"/>
      <w:r>
        <w:t>Zeeschelde</w:t>
      </w:r>
      <w:proofErr w:type="spellEnd"/>
      <w:r>
        <w:t xml:space="preserve">-estuarium wordt de diversiteit aan hogere planten opgevolgd door middel van vegetatieopnames. Deze worden gemaakt van de bestaande permanente kwadraten (PQ) en aangevuld met losse vegetatieopnames welke </w:t>
      </w:r>
      <w:proofErr w:type="spellStart"/>
      <w:r>
        <w:t>stratified</w:t>
      </w:r>
      <w:proofErr w:type="spellEnd"/>
      <w:r>
        <w:t xml:space="preserve"> random worden gelokaliseerd in functie van de huidige vegetatietypes of doelvegetatietypes, zodat voor elk vegetatietype een representatief aantal opnames gemaakt wordt. </w:t>
      </w:r>
    </w:p>
    <w:p w:rsidR="00F845A1" w:rsidRPr="00402E6B" w:rsidRDefault="00F845A1" w:rsidP="00F845A1">
      <w:r>
        <w:t xml:space="preserve">Kaderend binnen de systeemmonitoring werd van 1992 tot 2013 driejaarlijks een vegetatieopname gemaakt </w:t>
      </w:r>
      <w:r w:rsidRPr="00402E6B">
        <w:t xml:space="preserve">van de permanente kwadraten. Deze meetfrequentie is evenwel gewijzigd naar 6-jaarlijks. De rapportage van de vegetatieopnames gemaakt in 2013 gebeurde in Van </w:t>
      </w:r>
      <w:proofErr w:type="spellStart"/>
      <w:r w:rsidRPr="00402E6B">
        <w:t>Ryckegem</w:t>
      </w:r>
      <w:proofErr w:type="spellEnd"/>
      <w:r w:rsidRPr="00402E6B">
        <w:t xml:space="preserve"> et al. (2014) met aanvullingen in Van </w:t>
      </w:r>
      <w:proofErr w:type="spellStart"/>
      <w:r w:rsidRPr="00402E6B">
        <w:t>Ryckegem</w:t>
      </w:r>
      <w:proofErr w:type="spellEnd"/>
      <w:r w:rsidRPr="00402E6B">
        <w:t xml:space="preserve"> et al. (2015). In 2019 zijn opnieuw vegetatieopnames gemaakt van de permanente kwadraten welke in dit rapport worden gepubliceerd. De methode beschreven in fiche S-DS-V-001 – Hogere planten is gevolgd.</w:t>
      </w:r>
    </w:p>
    <w:p w:rsidR="00F845A1" w:rsidRPr="00115D97" w:rsidRDefault="00F845A1" w:rsidP="00F845A1">
      <w:r w:rsidRPr="00402E6B">
        <w:t>Tot 2013 werden de natuurontwikkelingsgebieden (</w:t>
      </w:r>
      <w:proofErr w:type="spellStart"/>
      <w:r w:rsidRPr="00402E6B">
        <w:t>Paardeschor</w:t>
      </w:r>
      <w:proofErr w:type="spellEnd"/>
      <w:r w:rsidRPr="00402E6B">
        <w:t xml:space="preserve">, </w:t>
      </w:r>
      <w:proofErr w:type="spellStart"/>
      <w:r w:rsidRPr="00402E6B">
        <w:t>Ketenisseschor</w:t>
      </w:r>
      <w:proofErr w:type="spellEnd"/>
      <w:r w:rsidRPr="00402E6B">
        <w:t xml:space="preserve">, </w:t>
      </w:r>
      <w:proofErr w:type="spellStart"/>
      <w:r w:rsidRPr="00402E6B">
        <w:t>Paddebeek</w:t>
      </w:r>
      <w:proofErr w:type="spellEnd"/>
      <w:r w:rsidRPr="00402E6B">
        <w:t xml:space="preserve"> en Heusden) jaarlijks bemeten maar vanaf 2013 is deze meetfrequentie aangepast naar 3-jaarlijks. De proefvlakken of permanente kwadraten, waarvan vegetatieopnames worden gemaakt, zijn gelegen langs </w:t>
      </w:r>
      <w:proofErr w:type="spellStart"/>
      <w:r w:rsidRPr="00402E6B">
        <w:t>transecten</w:t>
      </w:r>
      <w:proofErr w:type="spellEnd"/>
      <w:r w:rsidRPr="00402E6B">
        <w:t xml:space="preserve"> die loodrecht op de </w:t>
      </w:r>
      <w:proofErr w:type="spellStart"/>
      <w:r w:rsidRPr="00402E6B">
        <w:t>rivieras</w:t>
      </w:r>
      <w:proofErr w:type="spellEnd"/>
      <w:r w:rsidRPr="00402E6B">
        <w:t xml:space="preserve"> zijn gesitueerd. De vegetatieopnames die in 2016 van deze permanente kwadraten zijn gemaakt, zijn gepubliceerd in Van </w:t>
      </w:r>
      <w:proofErr w:type="spellStart"/>
      <w:r w:rsidRPr="00402E6B">
        <w:t>Ryckegem</w:t>
      </w:r>
      <w:proofErr w:type="spellEnd"/>
      <w:r w:rsidRPr="00402E6B">
        <w:t xml:space="preserve"> et al. (2017). In 2019 zijn er opnieuw vegetatieopnames gemaakt welke in dit rapport worden gepubliceerd. De methode beschreven in fiche</w:t>
      </w:r>
      <w:r>
        <w:t xml:space="preserve"> </w:t>
      </w:r>
      <w:r w:rsidRPr="00CE1991">
        <w:t>P-DS-V-001b - Hogere planten</w:t>
      </w:r>
      <w:r>
        <w:t xml:space="preserve"> is gevolgd.</w:t>
      </w:r>
    </w:p>
    <w:p w:rsidR="00F845A1" w:rsidRDefault="00F845A1" w:rsidP="00F845A1">
      <w:pPr>
        <w:pStyle w:val="Kop2"/>
        <w:tabs>
          <w:tab w:val="clear" w:pos="3686"/>
          <w:tab w:val="num" w:pos="576"/>
          <w:tab w:val="left" w:pos="851"/>
        </w:tabs>
        <w:spacing w:before="180" w:after="120"/>
        <w:ind w:left="576" w:hanging="576"/>
        <w:contextualSpacing w:val="0"/>
      </w:pPr>
      <w:bookmarkStart w:id="4" w:name="_Toc484173756"/>
      <w:bookmarkStart w:id="5" w:name="_Toc514055151"/>
      <w:bookmarkStart w:id="6" w:name="_Toc50486525"/>
      <w:r>
        <w:t>Materiaal en methode</w:t>
      </w:r>
      <w:bookmarkEnd w:id="4"/>
      <w:bookmarkEnd w:id="5"/>
      <w:bookmarkEnd w:id="6"/>
    </w:p>
    <w:p w:rsidR="00F845A1" w:rsidRDefault="00F845A1" w:rsidP="00F845A1">
      <w:pPr>
        <w:pStyle w:val="Kop3"/>
        <w:keepLines w:val="0"/>
        <w:tabs>
          <w:tab w:val="clear" w:pos="3686"/>
          <w:tab w:val="num" w:pos="1571"/>
        </w:tabs>
        <w:spacing w:before="240"/>
        <w:ind w:left="1571" w:hanging="720"/>
        <w:contextualSpacing w:val="0"/>
        <w:jc w:val="both"/>
      </w:pPr>
      <w:bookmarkStart w:id="7" w:name="_Toc514055152"/>
      <w:bookmarkStart w:id="8" w:name="_Toc50486526"/>
      <w:r>
        <w:t>Vegetatieopnames van permanente kwadraten</w:t>
      </w:r>
      <w:bookmarkEnd w:id="7"/>
      <w:bookmarkEnd w:id="8"/>
    </w:p>
    <w:p w:rsidR="00F845A1" w:rsidRDefault="00F845A1" w:rsidP="00F845A1">
      <w:r>
        <w:t>Vegetatieopnames zijn gemaakt volgens de principes van de Frans-Zwitserse school (</w:t>
      </w:r>
      <w:proofErr w:type="spellStart"/>
      <w:r>
        <w:t>Schaminée</w:t>
      </w:r>
      <w:proofErr w:type="spellEnd"/>
      <w:r>
        <w:t xml:space="preserve"> et al. 1995). Dit houdt in dat de vegetatie in een proefvlak homogeen moet zijn en dat ze een representatieve weergave moet zijn van de aanwezige vegetatie. Het proefvlak moet met andere woorden groot genoeg zijn om de floristische samenstelling van de vegetatie weer te geven (i.e. minimumareaal).</w:t>
      </w:r>
    </w:p>
    <w:p w:rsidR="00F845A1" w:rsidRDefault="00F845A1" w:rsidP="00F845A1">
      <w:r>
        <w:t>In dit rapport worden vegetatieopnames gepubliceerd die gemaakt zijn van permanente kwadraten (</w:t>
      </w:r>
      <w:proofErr w:type="spellStart"/>
      <w:r>
        <w:t>PQ’s</w:t>
      </w:r>
      <w:proofErr w:type="spellEnd"/>
      <w:r>
        <w:t>) of permanente proefvlakken. Indertijd, bij het installeren van de permanente kwadraten, is rekening gehouden met de twee voorwaarden (homogeniteit, minimumareaal) in functie van het toen aanwezige vegetatietype. Maar na verloop van tijd kan het evenwel gebeuren dat de vegetatie in het permanent kwadraat niet langer homogeen is. Een PQ, oorspronkelijk gelegd in een homogene ruigte, kan bijvoorbeeld ingegroeid geraken door een struweel, waardoor het voor een deel uit ruigte bestaat en het andere deel uit struweel. Dit is eigen aan permanente kwadraten en hoeft geen probleem te zijn. De vegetatieopnames die gemaakt zijn van deze permanente kwadraten, kunnen dus van heterogene vegetaties gemaakt zijn.</w:t>
      </w:r>
    </w:p>
    <w:p w:rsidR="00F845A1" w:rsidRDefault="00F845A1" w:rsidP="00F845A1">
      <w:r>
        <w:lastRenderedPageBreak/>
        <w:t xml:space="preserve">Bovendien wordt volgens de principes van de Frans-Zwitserse school de vegetatie in zijn geheel beschouwd. Dit wil zeggen dat bij het maken van een vegetatieopname alle plantensoorten, mossen, </w:t>
      </w:r>
      <w:proofErr w:type="spellStart"/>
      <w:r>
        <w:t>lichenen</w:t>
      </w:r>
      <w:proofErr w:type="spellEnd"/>
      <w:r>
        <w:t xml:space="preserve"> en (macro)algen verdeeld over de verschillende lagen (</w:t>
      </w:r>
      <w:proofErr w:type="spellStart"/>
      <w:r>
        <w:t>boomlaag</w:t>
      </w:r>
      <w:proofErr w:type="spellEnd"/>
      <w:r>
        <w:t xml:space="preserve">, struiklaag, </w:t>
      </w:r>
      <w:proofErr w:type="spellStart"/>
      <w:r>
        <w:t>kruidlaag</w:t>
      </w:r>
      <w:proofErr w:type="spellEnd"/>
      <w:r>
        <w:t xml:space="preserve">, moslaag, </w:t>
      </w:r>
      <w:proofErr w:type="spellStart"/>
      <w:r>
        <w:t>algenlaag</w:t>
      </w:r>
      <w:proofErr w:type="spellEnd"/>
      <w:r>
        <w:t>) in rekening worden gebracht. De planten moeten wel rechtstreeks in contact staan met de bodem; epifyten worden bijvoorbeeld niet meegeteld.</w:t>
      </w:r>
    </w:p>
    <w:p w:rsidR="00F845A1" w:rsidRDefault="00F845A1" w:rsidP="00F845A1">
      <w:r>
        <w:t xml:space="preserve">In functie van het (initiële) vegetatietype varieert de oppervlakte van de permanente kwadraten. De grootte van een permanent kwadraat is zodanig gekozen dat het een representatieve weergave is van de aanwezige vegetatie (i.e. minimumareaal). In bossen en struwelen zijn bijvoorbeeld grotere proefvlakken afgebakend in vergelijking met andere vegetatietypes als biezen- en </w:t>
      </w:r>
      <w:proofErr w:type="spellStart"/>
      <w:r>
        <w:t>pioniervegetaties</w:t>
      </w:r>
      <w:proofErr w:type="spellEnd"/>
      <w:r>
        <w:t xml:space="preserve">. Bij het maken van een vegetatieopname van het permanent kwadraat wordt de initiële grootte van het proefvlak gerespecteerd, onafhankelijk van de vegetatie die er zich heeft ontwikkeld. Bij vergelijking van vegetatieopnames van </w:t>
      </w:r>
      <w:proofErr w:type="spellStart"/>
      <w:r>
        <w:t>PQ’s</w:t>
      </w:r>
      <w:proofErr w:type="spellEnd"/>
      <w:r>
        <w:t xml:space="preserve"> met verschillende grootte wordt hier best rekening mee gehouden door te standaardiseren per oppervlakte-eenheid.</w:t>
      </w:r>
      <w:bookmarkStart w:id="9" w:name="_GoBack"/>
      <w:bookmarkEnd w:id="9"/>
    </w:p>
    <w:p w:rsidR="00F845A1" w:rsidRPr="00115D97" w:rsidRDefault="00F845A1" w:rsidP="00F845A1">
      <w:r>
        <w:t xml:space="preserve">De vegetatieopnames die hier gerapporteerd worden zijn gemaakt van de permanente kwadraten langs de </w:t>
      </w:r>
      <w:proofErr w:type="spellStart"/>
      <w:r>
        <w:t>Zeeschelde</w:t>
      </w:r>
      <w:proofErr w:type="spellEnd"/>
      <w:r>
        <w:t xml:space="preserve"> en </w:t>
      </w:r>
      <w:proofErr w:type="spellStart"/>
      <w:r>
        <w:t>Durme</w:t>
      </w:r>
      <w:proofErr w:type="spellEnd"/>
      <w:r>
        <w:t xml:space="preserve"> in de periode augustus 2019 tot oktober 2019. In de zomer zijn de zoetwaterschorren bemonsterd, in de nazomer de brakwaterschorren.</w:t>
      </w:r>
    </w:p>
    <w:p w:rsidR="00F845A1" w:rsidRDefault="00F845A1" w:rsidP="00F845A1">
      <w:pPr>
        <w:pStyle w:val="Kop3"/>
        <w:keepLines w:val="0"/>
        <w:tabs>
          <w:tab w:val="clear" w:pos="3686"/>
          <w:tab w:val="num" w:pos="1571"/>
        </w:tabs>
        <w:spacing w:before="240"/>
        <w:ind w:left="1571" w:hanging="720"/>
        <w:contextualSpacing w:val="0"/>
        <w:jc w:val="both"/>
      </w:pPr>
      <w:bookmarkStart w:id="10" w:name="_Toc492461988"/>
      <w:bookmarkStart w:id="11" w:name="_Toc492462253"/>
      <w:bookmarkStart w:id="12" w:name="_Toc492462518"/>
      <w:bookmarkStart w:id="13" w:name="_Toc492462781"/>
      <w:bookmarkStart w:id="14" w:name="_Toc492473923"/>
      <w:bookmarkStart w:id="15" w:name="_Toc492476028"/>
      <w:bookmarkStart w:id="16" w:name="_Toc514055153"/>
      <w:bookmarkStart w:id="17" w:name="_Toc50486527"/>
      <w:bookmarkEnd w:id="10"/>
      <w:bookmarkEnd w:id="11"/>
      <w:bookmarkEnd w:id="12"/>
      <w:bookmarkEnd w:id="13"/>
      <w:bookmarkEnd w:id="14"/>
      <w:bookmarkEnd w:id="15"/>
      <w:r>
        <w:t>Databankstructuur</w:t>
      </w:r>
      <w:bookmarkEnd w:id="16"/>
      <w:bookmarkEnd w:id="17"/>
    </w:p>
    <w:p w:rsidR="00F845A1" w:rsidRDefault="00F845A1" w:rsidP="00F845A1">
      <w:r w:rsidRPr="00CC57AF">
        <w:t>Sinds 2012 is de dataopslag van de vegetatieopnames veranderd. Het INBO ontwikkelde een eigen databank ‘INBOVEG’, waarin alle vegetatieopnames worden ingevoerd</w:t>
      </w:r>
      <w:r>
        <w:t xml:space="preserve"> en gearchiveerd</w:t>
      </w:r>
      <w:r w:rsidRPr="00CC57AF">
        <w:t>. Om de data beschikbaar te stellen</w:t>
      </w:r>
      <w:r>
        <w:t xml:space="preserve"> zijn de vegetatieopnames die in 2019 gemaakt zijn van de permanente kwadraten (systeemmonitoring en natuurontwikkelingsgebieden) geëxporteerd naar een spreadsheet (Excel-bestand): </w:t>
      </w:r>
      <w:r w:rsidRPr="008C7C33">
        <w:rPr>
          <w:b/>
        </w:rPr>
        <w:t>VegetatieopnamesPQ2019.xlsx</w:t>
      </w:r>
      <w:r w:rsidRPr="00CC57AF">
        <w:t>.</w:t>
      </w:r>
      <w:r>
        <w:t xml:space="preserve"> </w:t>
      </w:r>
    </w:p>
    <w:p w:rsidR="00F845A1" w:rsidRDefault="00F845A1" w:rsidP="00F845A1">
      <w:r>
        <w:t xml:space="preserve">Iedere vegetatieopname bestaat enerzijds uit kopgegevens en anderzijds uit soortgegevens. Kopgegevens omvatten vooral beschrijvende data zoals de auteur, datum, oppervlakte, etc. alsook de bedekkingen van de verschillende lagen of </w:t>
      </w:r>
      <w:proofErr w:type="spellStart"/>
      <w:r>
        <w:t>strata</w:t>
      </w:r>
      <w:proofErr w:type="spellEnd"/>
      <w:r>
        <w:t xml:space="preserve"> (</w:t>
      </w:r>
      <w:r>
        <w:fldChar w:fldCharType="begin"/>
      </w:r>
      <w:r>
        <w:instrText xml:space="preserve"> REF _Ref44948878 \h </w:instrText>
      </w:r>
      <w:r>
        <w:fldChar w:fldCharType="separate"/>
      </w:r>
      <w:r>
        <w:t xml:space="preserve">Tabel </w:t>
      </w:r>
      <w:r>
        <w:rPr>
          <w:noProof/>
        </w:rPr>
        <w:t>5</w:t>
      </w:r>
      <w:r>
        <w:noBreakHyphen/>
      </w:r>
      <w:r>
        <w:rPr>
          <w:noProof/>
        </w:rPr>
        <w:t>1</w:t>
      </w:r>
      <w:r>
        <w:fldChar w:fldCharType="end"/>
      </w:r>
      <w:r>
        <w:t>). De soortgegevens omvatten de aangetroffen hogere planten, terrestrische mossen, korstmossen en macro-algen. Per soort is vervolgens de laag gegeven waarin de soort voorkomt en de bedekking in percentages (</w:t>
      </w:r>
      <w:r>
        <w:fldChar w:fldCharType="begin"/>
      </w:r>
      <w:r>
        <w:instrText xml:space="preserve"> REF _Ref44948897 \h </w:instrText>
      </w:r>
      <w:r>
        <w:fldChar w:fldCharType="separate"/>
      </w:r>
      <w:r>
        <w:t xml:space="preserve">Tabel </w:t>
      </w:r>
      <w:r>
        <w:rPr>
          <w:noProof/>
        </w:rPr>
        <w:t>5</w:t>
      </w:r>
      <w:r>
        <w:noBreakHyphen/>
      </w:r>
      <w:r>
        <w:rPr>
          <w:noProof/>
        </w:rPr>
        <w:t>2</w:t>
      </w:r>
      <w:r>
        <w:fldChar w:fldCharType="end"/>
      </w:r>
      <w:r>
        <w:t xml:space="preserve">). Duiding bij de opbouw van het </w:t>
      </w:r>
      <w:proofErr w:type="spellStart"/>
      <w:r>
        <w:t>excelbestand</w:t>
      </w:r>
      <w:proofErr w:type="spellEnd"/>
      <w:r>
        <w:t xml:space="preserve"> wordt gegeven in </w:t>
      </w:r>
      <w:r>
        <w:fldChar w:fldCharType="begin"/>
      </w:r>
      <w:r>
        <w:instrText xml:space="preserve"> REF _Ref44948878 \h </w:instrText>
      </w:r>
      <w:r>
        <w:fldChar w:fldCharType="separate"/>
      </w:r>
      <w:r>
        <w:t xml:space="preserve">Tabel </w:t>
      </w:r>
      <w:r>
        <w:rPr>
          <w:noProof/>
        </w:rPr>
        <w:t>5</w:t>
      </w:r>
      <w:r>
        <w:noBreakHyphen/>
      </w:r>
      <w:r>
        <w:rPr>
          <w:noProof/>
        </w:rPr>
        <w:t>1</w:t>
      </w:r>
      <w:r>
        <w:fldChar w:fldCharType="end"/>
      </w:r>
      <w:r>
        <w:t xml:space="preserve"> en </w:t>
      </w:r>
      <w:r>
        <w:fldChar w:fldCharType="begin"/>
      </w:r>
      <w:r>
        <w:instrText xml:space="preserve"> REF _Ref44948897 \h </w:instrText>
      </w:r>
      <w:r>
        <w:fldChar w:fldCharType="separate"/>
      </w:r>
      <w:r>
        <w:t xml:space="preserve">Tabel </w:t>
      </w:r>
      <w:r>
        <w:rPr>
          <w:noProof/>
        </w:rPr>
        <w:t>5</w:t>
      </w:r>
      <w:r>
        <w:noBreakHyphen/>
      </w:r>
      <w:r>
        <w:rPr>
          <w:noProof/>
        </w:rPr>
        <w:t>2</w:t>
      </w:r>
      <w:r>
        <w:fldChar w:fldCharType="end"/>
      </w:r>
      <w:r>
        <w:t xml:space="preserve">. </w:t>
      </w:r>
    </w:p>
    <w:p w:rsidR="00F845A1" w:rsidRDefault="00F845A1" w:rsidP="00F845A1">
      <w:pPr>
        <w:tabs>
          <w:tab w:val="clear" w:pos="3686"/>
        </w:tabs>
        <w:spacing w:after="200" w:line="276" w:lineRule="auto"/>
      </w:pPr>
      <w:r>
        <w:br w:type="page"/>
      </w:r>
    </w:p>
    <w:p w:rsidR="00F845A1" w:rsidRDefault="00F845A1" w:rsidP="00F845A1">
      <w:pPr>
        <w:pStyle w:val="Bijschrift"/>
      </w:pPr>
      <w:bookmarkStart w:id="18" w:name="_Ref44948878"/>
      <w:bookmarkStart w:id="19" w:name="_Toc50486724"/>
      <w:r>
        <w:lastRenderedPageBreak/>
        <w:t xml:space="preserve">Tabel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Tabel \* ARABIC \s 1 </w:instrText>
      </w:r>
      <w:r>
        <w:fldChar w:fldCharType="separate"/>
      </w:r>
      <w:r>
        <w:rPr>
          <w:noProof/>
        </w:rPr>
        <w:t>1</w:t>
      </w:r>
      <w:r>
        <w:rPr>
          <w:noProof/>
        </w:rPr>
        <w:fldChar w:fldCharType="end"/>
      </w:r>
      <w:bookmarkEnd w:id="18"/>
      <w:r>
        <w:t xml:space="preserve"> </w:t>
      </w:r>
      <w:r w:rsidRPr="00E64463">
        <w:t>Duiding bij de verschillende kopgegevens van de vegetatieopnames</w:t>
      </w:r>
      <w:r>
        <w:t xml:space="preserve"> zoals gestructureerd in de spreadsheet..</w:t>
      </w:r>
      <w:bookmarkEnd w:id="19"/>
    </w:p>
    <w:tbl>
      <w:tblPr>
        <w:tblStyle w:val="Tabelraster"/>
        <w:tblW w:w="9104" w:type="dxa"/>
        <w:tblLayout w:type="fixed"/>
        <w:tblLook w:val="04A0" w:firstRow="1" w:lastRow="0" w:firstColumn="1" w:lastColumn="0" w:noHBand="0" w:noVBand="1"/>
      </w:tblPr>
      <w:tblGrid>
        <w:gridCol w:w="3085"/>
        <w:gridCol w:w="6019"/>
      </w:tblGrid>
      <w:tr w:rsidR="00F845A1" w:rsidRPr="00AE2658" w:rsidTr="00672CF2">
        <w:tc>
          <w:tcPr>
            <w:tcW w:w="3085" w:type="dxa"/>
          </w:tcPr>
          <w:p w:rsidR="00F845A1" w:rsidRPr="00AE2658" w:rsidRDefault="00F845A1" w:rsidP="00672CF2">
            <w:pPr>
              <w:rPr>
                <w:b/>
                <w:sz w:val="20"/>
              </w:rPr>
            </w:pPr>
            <w:r w:rsidRPr="00AE2658">
              <w:rPr>
                <w:b/>
                <w:sz w:val="20"/>
              </w:rPr>
              <w:t>Kopgegevens</w:t>
            </w:r>
          </w:p>
        </w:tc>
        <w:tc>
          <w:tcPr>
            <w:tcW w:w="6019" w:type="dxa"/>
          </w:tcPr>
          <w:p w:rsidR="00F845A1" w:rsidRPr="00AE2658" w:rsidRDefault="00F845A1" w:rsidP="00672CF2">
            <w:pPr>
              <w:rPr>
                <w:sz w:val="20"/>
              </w:rPr>
            </w:pPr>
          </w:p>
        </w:tc>
      </w:tr>
      <w:tr w:rsidR="00F845A1" w:rsidRPr="00AE2658" w:rsidTr="00672CF2">
        <w:tc>
          <w:tcPr>
            <w:tcW w:w="3085" w:type="dxa"/>
          </w:tcPr>
          <w:p w:rsidR="00F845A1" w:rsidRPr="00AE2658" w:rsidRDefault="00F845A1" w:rsidP="00672CF2">
            <w:pPr>
              <w:spacing w:after="120"/>
              <w:rPr>
                <w:sz w:val="20"/>
              </w:rPr>
            </w:pPr>
            <w:r w:rsidRPr="00AE2658">
              <w:rPr>
                <w:sz w:val="20"/>
              </w:rPr>
              <w:t>Opnamenummer</w:t>
            </w:r>
          </w:p>
        </w:tc>
        <w:tc>
          <w:tcPr>
            <w:tcW w:w="6019" w:type="dxa"/>
          </w:tcPr>
          <w:p w:rsidR="00F845A1" w:rsidRPr="00AE2658" w:rsidRDefault="00F845A1" w:rsidP="00672CF2">
            <w:pPr>
              <w:spacing w:after="120"/>
              <w:rPr>
                <w:sz w:val="20"/>
              </w:rPr>
            </w:pPr>
            <w:r w:rsidRPr="00AE2658">
              <w:rPr>
                <w:sz w:val="20"/>
              </w:rPr>
              <w:t>Uniek volgnummer per jaar</w:t>
            </w:r>
          </w:p>
        </w:tc>
      </w:tr>
      <w:tr w:rsidR="00F845A1" w:rsidRPr="00AE2658" w:rsidTr="00672CF2">
        <w:tc>
          <w:tcPr>
            <w:tcW w:w="3085" w:type="dxa"/>
          </w:tcPr>
          <w:p w:rsidR="00F845A1" w:rsidRPr="00AE2658" w:rsidRDefault="00F845A1" w:rsidP="00672CF2">
            <w:pPr>
              <w:spacing w:after="120"/>
              <w:rPr>
                <w:sz w:val="20"/>
              </w:rPr>
            </w:pPr>
            <w:r w:rsidRPr="00AE2658">
              <w:rPr>
                <w:sz w:val="20"/>
              </w:rPr>
              <w:t>PQ-nummer</w:t>
            </w:r>
          </w:p>
        </w:tc>
        <w:tc>
          <w:tcPr>
            <w:tcW w:w="6019" w:type="dxa"/>
          </w:tcPr>
          <w:p w:rsidR="00F845A1" w:rsidRPr="00AE2658" w:rsidRDefault="00F845A1" w:rsidP="00672CF2">
            <w:pPr>
              <w:spacing w:after="120"/>
              <w:rPr>
                <w:sz w:val="20"/>
              </w:rPr>
            </w:pPr>
            <w:r w:rsidRPr="00AE2658">
              <w:rPr>
                <w:sz w:val="20"/>
              </w:rPr>
              <w:t xml:space="preserve">Elk permanent kwadraat heeft een uniek nummer, langs de </w:t>
            </w:r>
            <w:proofErr w:type="spellStart"/>
            <w:r w:rsidRPr="00AE2658">
              <w:rPr>
                <w:sz w:val="20"/>
              </w:rPr>
              <w:t>Zeeschelde</w:t>
            </w:r>
            <w:proofErr w:type="spellEnd"/>
            <w:r w:rsidRPr="00AE2658">
              <w:rPr>
                <w:sz w:val="20"/>
              </w:rPr>
              <w:t xml:space="preserve"> hebben die allemaal het prefix </w:t>
            </w:r>
            <w:proofErr w:type="spellStart"/>
            <w:r w:rsidRPr="00AE2658">
              <w:rPr>
                <w:sz w:val="20"/>
              </w:rPr>
              <w:t>ZSCPQxxx</w:t>
            </w:r>
            <w:proofErr w:type="spellEnd"/>
            <w:r w:rsidRPr="00AE2658">
              <w:rPr>
                <w:sz w:val="20"/>
              </w:rPr>
              <w:t>, gevolgd door een cijfer</w:t>
            </w:r>
          </w:p>
        </w:tc>
      </w:tr>
      <w:tr w:rsidR="00F845A1" w:rsidRPr="00AE2658" w:rsidTr="00672CF2">
        <w:tc>
          <w:tcPr>
            <w:tcW w:w="3085" w:type="dxa"/>
          </w:tcPr>
          <w:p w:rsidR="00F845A1" w:rsidRPr="00AE2658" w:rsidRDefault="00F845A1" w:rsidP="00672CF2">
            <w:pPr>
              <w:spacing w:after="120"/>
              <w:rPr>
                <w:sz w:val="20"/>
              </w:rPr>
            </w:pPr>
            <w:r w:rsidRPr="00AE2658">
              <w:rPr>
                <w:sz w:val="20"/>
              </w:rPr>
              <w:t>Auteur</w:t>
            </w:r>
          </w:p>
        </w:tc>
        <w:tc>
          <w:tcPr>
            <w:tcW w:w="6019" w:type="dxa"/>
          </w:tcPr>
          <w:p w:rsidR="00F845A1" w:rsidRPr="00AE2658" w:rsidRDefault="00F845A1" w:rsidP="00672CF2">
            <w:pPr>
              <w:spacing w:after="120"/>
              <w:rPr>
                <w:sz w:val="20"/>
              </w:rPr>
            </w:pPr>
            <w:r w:rsidRPr="00AE2658">
              <w:rPr>
                <w:sz w:val="20"/>
              </w:rPr>
              <w:t>Persoon die de vegetatieopname heeft gemaakt</w:t>
            </w:r>
          </w:p>
        </w:tc>
      </w:tr>
      <w:tr w:rsidR="00F845A1" w:rsidRPr="00AE2658" w:rsidTr="00672CF2">
        <w:tc>
          <w:tcPr>
            <w:tcW w:w="3085" w:type="dxa"/>
          </w:tcPr>
          <w:p w:rsidR="00F845A1" w:rsidRPr="00AE2658" w:rsidRDefault="00F845A1" w:rsidP="00672CF2">
            <w:pPr>
              <w:spacing w:after="120"/>
              <w:rPr>
                <w:sz w:val="20"/>
              </w:rPr>
            </w:pPr>
            <w:r w:rsidRPr="00AE2658">
              <w:rPr>
                <w:sz w:val="20"/>
              </w:rPr>
              <w:t>Jaar</w:t>
            </w:r>
          </w:p>
        </w:tc>
        <w:tc>
          <w:tcPr>
            <w:tcW w:w="6019" w:type="dxa"/>
          </w:tcPr>
          <w:p w:rsidR="00F845A1" w:rsidRPr="00AE2658" w:rsidRDefault="00F845A1" w:rsidP="00672CF2">
            <w:pPr>
              <w:spacing w:after="120"/>
              <w:rPr>
                <w:sz w:val="20"/>
              </w:rPr>
            </w:pPr>
            <w:r w:rsidRPr="00AE2658">
              <w:rPr>
                <w:sz w:val="20"/>
              </w:rPr>
              <w:t>Het jaar waarin de opname is gemaakt</w:t>
            </w:r>
          </w:p>
        </w:tc>
      </w:tr>
      <w:tr w:rsidR="00F845A1" w:rsidRPr="00AE2658" w:rsidTr="00672CF2">
        <w:tc>
          <w:tcPr>
            <w:tcW w:w="3085" w:type="dxa"/>
          </w:tcPr>
          <w:p w:rsidR="00F845A1" w:rsidRPr="00AE2658" w:rsidRDefault="00F845A1" w:rsidP="00672CF2">
            <w:pPr>
              <w:spacing w:after="120"/>
              <w:rPr>
                <w:sz w:val="20"/>
              </w:rPr>
            </w:pPr>
            <w:r w:rsidRPr="00AE2658">
              <w:rPr>
                <w:sz w:val="20"/>
              </w:rPr>
              <w:t>Lengte proefvlak (m)</w:t>
            </w:r>
          </w:p>
        </w:tc>
        <w:tc>
          <w:tcPr>
            <w:tcW w:w="6019" w:type="dxa"/>
          </w:tcPr>
          <w:p w:rsidR="00F845A1" w:rsidRPr="00AE2658" w:rsidRDefault="00F845A1" w:rsidP="00672CF2">
            <w:pPr>
              <w:spacing w:after="120"/>
              <w:rPr>
                <w:sz w:val="20"/>
              </w:rPr>
            </w:pPr>
            <w:r w:rsidRPr="00AE2658">
              <w:rPr>
                <w:sz w:val="20"/>
              </w:rPr>
              <w:t>Lengte van het proefvlak (PQ) in meter</w:t>
            </w:r>
          </w:p>
        </w:tc>
      </w:tr>
      <w:tr w:rsidR="00F845A1" w:rsidRPr="00AE2658" w:rsidTr="00672CF2">
        <w:tc>
          <w:tcPr>
            <w:tcW w:w="3085" w:type="dxa"/>
          </w:tcPr>
          <w:p w:rsidR="00F845A1" w:rsidRPr="00AE2658" w:rsidRDefault="00F845A1" w:rsidP="00672CF2">
            <w:pPr>
              <w:spacing w:after="120"/>
              <w:rPr>
                <w:sz w:val="20"/>
              </w:rPr>
            </w:pPr>
            <w:r w:rsidRPr="00AE2658">
              <w:rPr>
                <w:sz w:val="20"/>
              </w:rPr>
              <w:t>Breedte proefvlak (m)</w:t>
            </w:r>
          </w:p>
        </w:tc>
        <w:tc>
          <w:tcPr>
            <w:tcW w:w="6019" w:type="dxa"/>
          </w:tcPr>
          <w:p w:rsidR="00F845A1" w:rsidRPr="00AE2658" w:rsidRDefault="00F845A1" w:rsidP="00672CF2">
            <w:pPr>
              <w:spacing w:after="120"/>
              <w:rPr>
                <w:sz w:val="20"/>
              </w:rPr>
            </w:pPr>
            <w:r w:rsidRPr="00AE2658">
              <w:rPr>
                <w:sz w:val="20"/>
              </w:rPr>
              <w:t>Breedte van het proefvlak (PQ) in meter</w:t>
            </w:r>
          </w:p>
        </w:tc>
      </w:tr>
      <w:tr w:rsidR="00F845A1" w:rsidRPr="00AE2658" w:rsidTr="00672CF2">
        <w:tc>
          <w:tcPr>
            <w:tcW w:w="3085" w:type="dxa"/>
          </w:tcPr>
          <w:p w:rsidR="00F845A1" w:rsidRPr="00AE2658" w:rsidRDefault="00F845A1" w:rsidP="00672CF2">
            <w:pPr>
              <w:spacing w:after="120"/>
              <w:rPr>
                <w:sz w:val="20"/>
              </w:rPr>
            </w:pPr>
            <w:r w:rsidRPr="00AE2658">
              <w:rPr>
                <w:sz w:val="20"/>
              </w:rPr>
              <w:t>Opp. Proefvlak (m²)</w:t>
            </w:r>
          </w:p>
        </w:tc>
        <w:tc>
          <w:tcPr>
            <w:tcW w:w="6019" w:type="dxa"/>
          </w:tcPr>
          <w:p w:rsidR="00F845A1" w:rsidRPr="00AE2658" w:rsidRDefault="00F845A1" w:rsidP="00672CF2">
            <w:pPr>
              <w:spacing w:after="120"/>
              <w:rPr>
                <w:sz w:val="20"/>
              </w:rPr>
            </w:pPr>
            <w:r w:rsidRPr="00AE2658">
              <w:rPr>
                <w:sz w:val="20"/>
              </w:rPr>
              <w:t>Oppervlakte van het proefvlak (PQ) in vierkante meter</w:t>
            </w:r>
          </w:p>
        </w:tc>
      </w:tr>
      <w:tr w:rsidR="00F845A1" w:rsidRPr="00AE2658" w:rsidTr="00672CF2">
        <w:tc>
          <w:tcPr>
            <w:tcW w:w="3085" w:type="dxa"/>
          </w:tcPr>
          <w:p w:rsidR="00F845A1" w:rsidRPr="00AE2658" w:rsidRDefault="00F845A1" w:rsidP="00672CF2">
            <w:pPr>
              <w:spacing w:after="120"/>
              <w:rPr>
                <w:sz w:val="20"/>
              </w:rPr>
            </w:pPr>
            <w:r w:rsidRPr="00AE2658">
              <w:rPr>
                <w:sz w:val="20"/>
              </w:rPr>
              <w:t>Bedekking totaal (%)</w:t>
            </w:r>
          </w:p>
        </w:tc>
        <w:tc>
          <w:tcPr>
            <w:tcW w:w="6019" w:type="dxa"/>
          </w:tcPr>
          <w:p w:rsidR="00F845A1" w:rsidRPr="00AE2658" w:rsidRDefault="00F845A1" w:rsidP="00672CF2">
            <w:pPr>
              <w:spacing w:after="120"/>
              <w:rPr>
                <w:sz w:val="20"/>
              </w:rPr>
            </w:pPr>
            <w:r w:rsidRPr="00AE2658">
              <w:rPr>
                <w:sz w:val="20"/>
              </w:rPr>
              <w:t xml:space="preserve">Het percentage van het proefvlak dat bedekt wordt door de verschillende lagen (boom-, struik-, kruid-, mos-, algen- en </w:t>
            </w:r>
            <w:proofErr w:type="spellStart"/>
            <w:r w:rsidRPr="00AE2658">
              <w:rPr>
                <w:sz w:val="20"/>
              </w:rPr>
              <w:t>strooisellaag</w:t>
            </w:r>
            <w:proofErr w:type="spellEnd"/>
            <w:r w:rsidRPr="00AE2658">
              <w:rPr>
                <w:sz w:val="20"/>
              </w:rPr>
              <w:t>) samen</w:t>
            </w:r>
          </w:p>
        </w:tc>
      </w:tr>
      <w:tr w:rsidR="00F845A1" w:rsidRPr="00AE2658" w:rsidTr="00672CF2">
        <w:tc>
          <w:tcPr>
            <w:tcW w:w="3085" w:type="dxa"/>
          </w:tcPr>
          <w:p w:rsidR="00F845A1" w:rsidRPr="00AE2658" w:rsidRDefault="00F845A1" w:rsidP="00672CF2">
            <w:pPr>
              <w:spacing w:after="120"/>
              <w:rPr>
                <w:sz w:val="20"/>
              </w:rPr>
            </w:pPr>
            <w:r w:rsidRPr="00AE2658">
              <w:rPr>
                <w:sz w:val="20"/>
              </w:rPr>
              <w:t xml:space="preserve">Bedekking </w:t>
            </w:r>
            <w:proofErr w:type="spellStart"/>
            <w:r w:rsidRPr="00AE2658">
              <w:rPr>
                <w:sz w:val="20"/>
              </w:rPr>
              <w:t>boomlaag</w:t>
            </w:r>
            <w:proofErr w:type="spellEnd"/>
            <w:r w:rsidRPr="00AE2658">
              <w:rPr>
                <w:sz w:val="20"/>
              </w:rPr>
              <w:t xml:space="preserve"> (%)</w:t>
            </w:r>
          </w:p>
        </w:tc>
        <w:tc>
          <w:tcPr>
            <w:tcW w:w="6019" w:type="dxa"/>
          </w:tcPr>
          <w:p w:rsidR="00F845A1" w:rsidRPr="00AE2658" w:rsidRDefault="00F845A1" w:rsidP="00672CF2">
            <w:pPr>
              <w:spacing w:after="120"/>
              <w:rPr>
                <w:sz w:val="20"/>
              </w:rPr>
            </w:pPr>
            <w:r w:rsidRPr="00AE2658">
              <w:rPr>
                <w:sz w:val="20"/>
              </w:rPr>
              <w:t xml:space="preserve">Het percentage van het proefvlak dat bij verticale projectie bedekt wordt door de </w:t>
            </w:r>
            <w:proofErr w:type="spellStart"/>
            <w:r w:rsidRPr="00AE2658">
              <w:rPr>
                <w:sz w:val="20"/>
              </w:rPr>
              <w:t>boomlaag</w:t>
            </w:r>
            <w:proofErr w:type="spellEnd"/>
          </w:p>
        </w:tc>
      </w:tr>
      <w:tr w:rsidR="00F845A1" w:rsidRPr="00AE2658" w:rsidTr="00672CF2">
        <w:tc>
          <w:tcPr>
            <w:tcW w:w="3085" w:type="dxa"/>
          </w:tcPr>
          <w:p w:rsidR="00F845A1" w:rsidRPr="00AE2658" w:rsidRDefault="00F845A1" w:rsidP="00672CF2">
            <w:pPr>
              <w:spacing w:after="120"/>
              <w:rPr>
                <w:sz w:val="20"/>
              </w:rPr>
            </w:pPr>
            <w:r w:rsidRPr="00AE2658">
              <w:rPr>
                <w:sz w:val="20"/>
              </w:rPr>
              <w:t>Bedekking struiklaag (%)</w:t>
            </w:r>
          </w:p>
        </w:tc>
        <w:tc>
          <w:tcPr>
            <w:tcW w:w="6019" w:type="dxa"/>
          </w:tcPr>
          <w:p w:rsidR="00F845A1" w:rsidRPr="00AE2658" w:rsidRDefault="00F845A1" w:rsidP="00672CF2">
            <w:pPr>
              <w:spacing w:after="120"/>
              <w:rPr>
                <w:sz w:val="20"/>
              </w:rPr>
            </w:pPr>
            <w:r w:rsidRPr="00AE2658">
              <w:rPr>
                <w:sz w:val="20"/>
              </w:rPr>
              <w:t>Het percentage van het proefvlak dat bij verticale projectie bedekt wordt door de struiklaag</w:t>
            </w:r>
          </w:p>
        </w:tc>
      </w:tr>
      <w:tr w:rsidR="00F845A1" w:rsidRPr="00AE2658" w:rsidTr="00672CF2">
        <w:tc>
          <w:tcPr>
            <w:tcW w:w="3085" w:type="dxa"/>
          </w:tcPr>
          <w:p w:rsidR="00F845A1" w:rsidRPr="00AE2658" w:rsidRDefault="00F845A1" w:rsidP="00672CF2">
            <w:pPr>
              <w:spacing w:after="120"/>
              <w:rPr>
                <w:sz w:val="20"/>
              </w:rPr>
            </w:pPr>
            <w:r w:rsidRPr="00AE2658">
              <w:rPr>
                <w:sz w:val="20"/>
              </w:rPr>
              <w:t xml:space="preserve">Bedekking </w:t>
            </w:r>
            <w:proofErr w:type="spellStart"/>
            <w:r w:rsidRPr="00AE2658">
              <w:rPr>
                <w:sz w:val="20"/>
              </w:rPr>
              <w:t>kruidlaag</w:t>
            </w:r>
            <w:proofErr w:type="spellEnd"/>
            <w:r w:rsidRPr="00AE2658">
              <w:rPr>
                <w:sz w:val="20"/>
              </w:rPr>
              <w:t xml:space="preserve"> (%)</w:t>
            </w:r>
          </w:p>
        </w:tc>
        <w:tc>
          <w:tcPr>
            <w:tcW w:w="6019" w:type="dxa"/>
          </w:tcPr>
          <w:p w:rsidR="00F845A1" w:rsidRPr="00AE2658" w:rsidRDefault="00F845A1" w:rsidP="00672CF2">
            <w:pPr>
              <w:spacing w:after="120"/>
              <w:rPr>
                <w:sz w:val="20"/>
              </w:rPr>
            </w:pPr>
            <w:r w:rsidRPr="00AE2658">
              <w:rPr>
                <w:sz w:val="20"/>
              </w:rPr>
              <w:t xml:space="preserve">Het percentage van het proefvlak dat bij verticale projectie bedekt wordt door de </w:t>
            </w:r>
            <w:proofErr w:type="spellStart"/>
            <w:r w:rsidRPr="00AE2658">
              <w:rPr>
                <w:sz w:val="20"/>
              </w:rPr>
              <w:t>kruidlaag</w:t>
            </w:r>
            <w:proofErr w:type="spellEnd"/>
          </w:p>
        </w:tc>
      </w:tr>
      <w:tr w:rsidR="00F845A1" w:rsidRPr="00AE2658" w:rsidTr="00672CF2">
        <w:tc>
          <w:tcPr>
            <w:tcW w:w="3085" w:type="dxa"/>
          </w:tcPr>
          <w:p w:rsidR="00F845A1" w:rsidRPr="00AE2658" w:rsidRDefault="00F845A1" w:rsidP="00672CF2">
            <w:pPr>
              <w:spacing w:after="120"/>
              <w:rPr>
                <w:sz w:val="20"/>
              </w:rPr>
            </w:pPr>
            <w:r w:rsidRPr="00AE2658">
              <w:rPr>
                <w:sz w:val="20"/>
              </w:rPr>
              <w:t>Bedekking moslaag (%)</w:t>
            </w:r>
          </w:p>
        </w:tc>
        <w:tc>
          <w:tcPr>
            <w:tcW w:w="6019" w:type="dxa"/>
          </w:tcPr>
          <w:p w:rsidR="00F845A1" w:rsidRPr="00AE2658" w:rsidRDefault="00F845A1" w:rsidP="00672CF2">
            <w:pPr>
              <w:spacing w:after="120"/>
              <w:rPr>
                <w:sz w:val="20"/>
              </w:rPr>
            </w:pPr>
            <w:r w:rsidRPr="00AE2658">
              <w:rPr>
                <w:sz w:val="20"/>
              </w:rPr>
              <w:t>Het percentage van het proefvlak dat bij verticale projectie bedekt wordt door de moslaag</w:t>
            </w:r>
          </w:p>
        </w:tc>
      </w:tr>
      <w:tr w:rsidR="00F845A1" w:rsidRPr="00AE2658" w:rsidTr="00672CF2">
        <w:tc>
          <w:tcPr>
            <w:tcW w:w="3085" w:type="dxa"/>
          </w:tcPr>
          <w:p w:rsidR="00F845A1" w:rsidRPr="00AE2658" w:rsidRDefault="00F845A1" w:rsidP="00672CF2">
            <w:pPr>
              <w:spacing w:after="120"/>
              <w:rPr>
                <w:sz w:val="20"/>
              </w:rPr>
            </w:pPr>
            <w:r w:rsidRPr="00AE2658">
              <w:rPr>
                <w:sz w:val="20"/>
              </w:rPr>
              <w:t xml:space="preserve">Bedekking </w:t>
            </w:r>
            <w:proofErr w:type="spellStart"/>
            <w:r w:rsidRPr="00AE2658">
              <w:rPr>
                <w:sz w:val="20"/>
              </w:rPr>
              <w:t>algenlaag</w:t>
            </w:r>
            <w:proofErr w:type="spellEnd"/>
            <w:r w:rsidRPr="00AE2658">
              <w:rPr>
                <w:sz w:val="20"/>
              </w:rPr>
              <w:t xml:space="preserve"> (%)</w:t>
            </w:r>
          </w:p>
        </w:tc>
        <w:tc>
          <w:tcPr>
            <w:tcW w:w="6019" w:type="dxa"/>
          </w:tcPr>
          <w:p w:rsidR="00F845A1" w:rsidRPr="00AE2658" w:rsidRDefault="00F845A1" w:rsidP="00672CF2">
            <w:pPr>
              <w:spacing w:after="120"/>
              <w:rPr>
                <w:sz w:val="20"/>
              </w:rPr>
            </w:pPr>
            <w:r w:rsidRPr="00AE2658">
              <w:rPr>
                <w:sz w:val="20"/>
              </w:rPr>
              <w:t xml:space="preserve">Het percentage van het proefvlak dat bij verticale projectie bedekt wordt door de </w:t>
            </w:r>
            <w:proofErr w:type="spellStart"/>
            <w:r w:rsidRPr="00AE2658">
              <w:rPr>
                <w:sz w:val="20"/>
              </w:rPr>
              <w:t>algenlaag</w:t>
            </w:r>
            <w:proofErr w:type="spellEnd"/>
          </w:p>
        </w:tc>
      </w:tr>
      <w:tr w:rsidR="00F845A1" w:rsidRPr="00AE2658" w:rsidTr="00672CF2">
        <w:tc>
          <w:tcPr>
            <w:tcW w:w="3085" w:type="dxa"/>
          </w:tcPr>
          <w:p w:rsidR="00F845A1" w:rsidRPr="00AE2658" w:rsidRDefault="00F845A1" w:rsidP="00672CF2">
            <w:pPr>
              <w:spacing w:after="120"/>
              <w:rPr>
                <w:sz w:val="20"/>
              </w:rPr>
            </w:pPr>
            <w:r w:rsidRPr="00AE2658">
              <w:rPr>
                <w:sz w:val="20"/>
              </w:rPr>
              <w:t xml:space="preserve">Bedekking </w:t>
            </w:r>
            <w:proofErr w:type="spellStart"/>
            <w:r w:rsidRPr="00AE2658">
              <w:rPr>
                <w:sz w:val="20"/>
              </w:rPr>
              <w:t>strooisellaag</w:t>
            </w:r>
            <w:proofErr w:type="spellEnd"/>
            <w:r w:rsidRPr="00AE2658">
              <w:rPr>
                <w:sz w:val="20"/>
              </w:rPr>
              <w:t xml:space="preserve"> (%)</w:t>
            </w:r>
          </w:p>
        </w:tc>
        <w:tc>
          <w:tcPr>
            <w:tcW w:w="6019" w:type="dxa"/>
          </w:tcPr>
          <w:p w:rsidR="00F845A1" w:rsidRPr="00AE2658" w:rsidRDefault="00F845A1" w:rsidP="00672CF2">
            <w:pPr>
              <w:spacing w:after="120"/>
              <w:rPr>
                <w:sz w:val="20"/>
              </w:rPr>
            </w:pPr>
            <w:r w:rsidRPr="00AE2658">
              <w:rPr>
                <w:sz w:val="20"/>
              </w:rPr>
              <w:t xml:space="preserve">Het percentage van het proefvlak dat bij verticale projectie bedekt wordt door de </w:t>
            </w:r>
            <w:proofErr w:type="spellStart"/>
            <w:r w:rsidRPr="00AE2658">
              <w:rPr>
                <w:sz w:val="20"/>
              </w:rPr>
              <w:t>strooisellaag</w:t>
            </w:r>
            <w:proofErr w:type="spellEnd"/>
          </w:p>
        </w:tc>
      </w:tr>
      <w:tr w:rsidR="00F845A1" w:rsidRPr="00AE2658" w:rsidTr="00672CF2">
        <w:tc>
          <w:tcPr>
            <w:tcW w:w="3085" w:type="dxa"/>
          </w:tcPr>
          <w:p w:rsidR="00F845A1" w:rsidRPr="00AE2658" w:rsidRDefault="00F845A1" w:rsidP="00672CF2">
            <w:pPr>
              <w:spacing w:after="120"/>
              <w:rPr>
                <w:sz w:val="20"/>
              </w:rPr>
            </w:pPr>
            <w:r w:rsidRPr="00AE2658">
              <w:rPr>
                <w:sz w:val="20"/>
              </w:rPr>
              <w:t>Mossen geïdentificeerd (J/N)</w:t>
            </w:r>
          </w:p>
        </w:tc>
        <w:tc>
          <w:tcPr>
            <w:tcW w:w="6019" w:type="dxa"/>
          </w:tcPr>
          <w:p w:rsidR="00F845A1" w:rsidRPr="00AE2658" w:rsidRDefault="00F845A1" w:rsidP="00672CF2">
            <w:pPr>
              <w:spacing w:after="120"/>
              <w:rPr>
                <w:sz w:val="20"/>
              </w:rPr>
            </w:pPr>
            <w:r w:rsidRPr="00AE2658">
              <w:rPr>
                <w:sz w:val="20"/>
              </w:rPr>
              <w:t xml:space="preserve">Als alle terrestrische mossen en </w:t>
            </w:r>
            <w:proofErr w:type="spellStart"/>
            <w:r w:rsidRPr="00AE2658">
              <w:rPr>
                <w:sz w:val="20"/>
              </w:rPr>
              <w:t>lichenen</w:t>
            </w:r>
            <w:proofErr w:type="spellEnd"/>
            <w:r w:rsidRPr="00AE2658">
              <w:rPr>
                <w:sz w:val="20"/>
              </w:rPr>
              <w:t xml:space="preserve"> zijn gedetermineerd en gecontroleerd wordt dit aangegeven met een “J”, indien ze nog niet allemaal zijn gedetermineerd of gecontroleerd wordt dit aangegeven met een “N”</w:t>
            </w:r>
          </w:p>
        </w:tc>
      </w:tr>
      <w:tr w:rsidR="00F845A1" w:rsidRPr="00AE2658" w:rsidTr="00672CF2">
        <w:tc>
          <w:tcPr>
            <w:tcW w:w="3085" w:type="dxa"/>
          </w:tcPr>
          <w:p w:rsidR="00F845A1" w:rsidRPr="00AE2658" w:rsidRDefault="00F845A1" w:rsidP="00672CF2">
            <w:pPr>
              <w:spacing w:after="120"/>
              <w:rPr>
                <w:sz w:val="20"/>
              </w:rPr>
            </w:pPr>
            <w:r w:rsidRPr="00AE2658">
              <w:rPr>
                <w:sz w:val="20"/>
              </w:rPr>
              <w:t xml:space="preserve">Permanent </w:t>
            </w:r>
            <w:proofErr w:type="spellStart"/>
            <w:r w:rsidRPr="00AE2658">
              <w:rPr>
                <w:sz w:val="20"/>
              </w:rPr>
              <w:t>Quadraat</w:t>
            </w:r>
            <w:proofErr w:type="spellEnd"/>
            <w:r w:rsidRPr="00AE2658">
              <w:rPr>
                <w:sz w:val="20"/>
              </w:rPr>
              <w:t xml:space="preserve"> (J/N)</w:t>
            </w:r>
          </w:p>
        </w:tc>
        <w:tc>
          <w:tcPr>
            <w:tcW w:w="6019" w:type="dxa"/>
          </w:tcPr>
          <w:p w:rsidR="00F845A1" w:rsidRPr="00AE2658" w:rsidRDefault="00F845A1" w:rsidP="00672CF2">
            <w:pPr>
              <w:spacing w:after="120"/>
              <w:rPr>
                <w:sz w:val="20"/>
              </w:rPr>
            </w:pPr>
            <w:r w:rsidRPr="00AE2658">
              <w:rPr>
                <w:sz w:val="20"/>
              </w:rPr>
              <w:t>Indien de opname gemaakt is van een permanent kwadraat (PQ) is dit aangeven met een “J”, indien niet met een “N”</w:t>
            </w:r>
          </w:p>
        </w:tc>
      </w:tr>
      <w:tr w:rsidR="00F845A1" w:rsidRPr="00AE2658" w:rsidTr="00672CF2">
        <w:tc>
          <w:tcPr>
            <w:tcW w:w="3085" w:type="dxa"/>
          </w:tcPr>
          <w:p w:rsidR="00F845A1" w:rsidRPr="00AE2658" w:rsidRDefault="00F845A1" w:rsidP="00672CF2">
            <w:pPr>
              <w:spacing w:after="120"/>
              <w:rPr>
                <w:sz w:val="20"/>
              </w:rPr>
            </w:pPr>
            <w:r w:rsidRPr="00AE2658">
              <w:rPr>
                <w:sz w:val="20"/>
              </w:rPr>
              <w:t>Schor</w:t>
            </w:r>
          </w:p>
        </w:tc>
        <w:tc>
          <w:tcPr>
            <w:tcW w:w="6019" w:type="dxa"/>
          </w:tcPr>
          <w:p w:rsidR="00F845A1" w:rsidRPr="00AE2658" w:rsidRDefault="00F845A1" w:rsidP="00672CF2">
            <w:pPr>
              <w:spacing w:after="120"/>
              <w:rPr>
                <w:sz w:val="20"/>
              </w:rPr>
            </w:pPr>
            <w:r w:rsidRPr="00AE2658">
              <w:rPr>
                <w:sz w:val="20"/>
              </w:rPr>
              <w:t>Gangbare naam van het schor waar de vegetatieopname is gemaakt</w:t>
            </w:r>
          </w:p>
        </w:tc>
      </w:tr>
      <w:tr w:rsidR="00F845A1" w:rsidRPr="00AE2658" w:rsidTr="00672CF2">
        <w:tc>
          <w:tcPr>
            <w:tcW w:w="3085" w:type="dxa"/>
          </w:tcPr>
          <w:p w:rsidR="00F845A1" w:rsidRPr="00AE2658" w:rsidRDefault="00F845A1" w:rsidP="00672CF2">
            <w:pPr>
              <w:spacing w:after="120"/>
              <w:rPr>
                <w:sz w:val="20"/>
              </w:rPr>
            </w:pPr>
            <w:r w:rsidRPr="00AE2658">
              <w:rPr>
                <w:sz w:val="20"/>
              </w:rPr>
              <w:t>Origineel nummer</w:t>
            </w:r>
          </w:p>
        </w:tc>
        <w:tc>
          <w:tcPr>
            <w:tcW w:w="6019" w:type="dxa"/>
          </w:tcPr>
          <w:p w:rsidR="00F845A1" w:rsidRPr="00AE2658" w:rsidRDefault="00F845A1" w:rsidP="00672CF2">
            <w:pPr>
              <w:spacing w:after="120"/>
              <w:rPr>
                <w:sz w:val="20"/>
              </w:rPr>
            </w:pPr>
            <w:r w:rsidRPr="00AE2658">
              <w:rPr>
                <w:sz w:val="20"/>
              </w:rPr>
              <w:t>Uniek nummer van de vegetatieopname</w:t>
            </w:r>
          </w:p>
        </w:tc>
      </w:tr>
    </w:tbl>
    <w:p w:rsidR="00F845A1" w:rsidRDefault="00F845A1" w:rsidP="00F845A1"/>
    <w:p w:rsidR="00F845A1" w:rsidRDefault="00F845A1" w:rsidP="00F845A1">
      <w:pPr>
        <w:tabs>
          <w:tab w:val="clear" w:pos="3686"/>
        </w:tabs>
        <w:spacing w:after="200" w:line="276" w:lineRule="auto"/>
        <w:rPr>
          <w:bCs/>
          <w:sz w:val="20"/>
          <w:szCs w:val="18"/>
        </w:rPr>
      </w:pPr>
      <w:bookmarkStart w:id="20" w:name="_Ref44948897"/>
      <w:r>
        <w:br w:type="page"/>
      </w:r>
    </w:p>
    <w:p w:rsidR="00F845A1" w:rsidRDefault="00F845A1" w:rsidP="00F845A1">
      <w:pPr>
        <w:pStyle w:val="Bijschrift"/>
      </w:pPr>
      <w:bookmarkStart w:id="21" w:name="_Toc50486725"/>
      <w:r>
        <w:lastRenderedPageBreak/>
        <w:t xml:space="preserve">Tabel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Tabel \* ARABIC \s 1 </w:instrText>
      </w:r>
      <w:r>
        <w:fldChar w:fldCharType="separate"/>
      </w:r>
      <w:r>
        <w:rPr>
          <w:noProof/>
        </w:rPr>
        <w:t>2</w:t>
      </w:r>
      <w:r>
        <w:rPr>
          <w:noProof/>
        </w:rPr>
        <w:fldChar w:fldCharType="end"/>
      </w:r>
      <w:bookmarkEnd w:id="20"/>
      <w:r>
        <w:t xml:space="preserve"> </w:t>
      </w:r>
      <w:r w:rsidRPr="008C7C33">
        <w:t>Duiding bij de soortgegevens van de vegetatieopnames</w:t>
      </w:r>
      <w:r>
        <w:t xml:space="preserve"> zoals gestructureerd in de spreadsheet.</w:t>
      </w:r>
      <w:bookmarkEnd w:id="21"/>
    </w:p>
    <w:tbl>
      <w:tblPr>
        <w:tblStyle w:val="Tabelraster"/>
        <w:tblW w:w="0" w:type="auto"/>
        <w:tblLook w:val="04A0" w:firstRow="1" w:lastRow="0" w:firstColumn="1" w:lastColumn="0" w:noHBand="0" w:noVBand="1"/>
      </w:tblPr>
      <w:tblGrid>
        <w:gridCol w:w="3085"/>
        <w:gridCol w:w="5560"/>
      </w:tblGrid>
      <w:tr w:rsidR="00F845A1" w:rsidRPr="00AE2658" w:rsidTr="00672CF2">
        <w:tc>
          <w:tcPr>
            <w:tcW w:w="3085" w:type="dxa"/>
          </w:tcPr>
          <w:p w:rsidR="00F845A1" w:rsidRPr="00AE2658" w:rsidRDefault="00F845A1" w:rsidP="00672CF2">
            <w:pPr>
              <w:spacing w:after="120"/>
              <w:rPr>
                <w:b/>
                <w:sz w:val="20"/>
              </w:rPr>
            </w:pPr>
            <w:r w:rsidRPr="00AE2658">
              <w:rPr>
                <w:b/>
                <w:sz w:val="20"/>
              </w:rPr>
              <w:t>Soortgegevens</w:t>
            </w:r>
          </w:p>
        </w:tc>
        <w:tc>
          <w:tcPr>
            <w:tcW w:w="5560" w:type="dxa"/>
          </w:tcPr>
          <w:p w:rsidR="00F845A1" w:rsidRPr="00AE2658" w:rsidRDefault="00F845A1" w:rsidP="00672CF2">
            <w:pPr>
              <w:spacing w:after="120"/>
              <w:rPr>
                <w:sz w:val="20"/>
              </w:rPr>
            </w:pPr>
          </w:p>
        </w:tc>
      </w:tr>
      <w:tr w:rsidR="00F845A1" w:rsidRPr="00AE2658" w:rsidTr="00672CF2">
        <w:tc>
          <w:tcPr>
            <w:tcW w:w="3085" w:type="dxa"/>
          </w:tcPr>
          <w:p w:rsidR="00F845A1" w:rsidRPr="00AE2658" w:rsidRDefault="00F845A1" w:rsidP="00672CF2">
            <w:pPr>
              <w:spacing w:after="120"/>
              <w:rPr>
                <w:sz w:val="20"/>
              </w:rPr>
            </w:pPr>
            <w:r w:rsidRPr="00AE2658">
              <w:rPr>
                <w:sz w:val="20"/>
              </w:rPr>
              <w:t>Taxon</w:t>
            </w:r>
          </w:p>
        </w:tc>
        <w:tc>
          <w:tcPr>
            <w:tcW w:w="5560" w:type="dxa"/>
          </w:tcPr>
          <w:p w:rsidR="00F845A1" w:rsidRPr="00AE2658" w:rsidRDefault="00F845A1" w:rsidP="00672CF2">
            <w:pPr>
              <w:spacing w:after="120"/>
              <w:rPr>
                <w:sz w:val="20"/>
              </w:rPr>
            </w:pPr>
            <w:r w:rsidRPr="00AE2658">
              <w:rPr>
                <w:sz w:val="20"/>
              </w:rPr>
              <w:t xml:space="preserve">Lijst van de aangetroffen taxa, nomenclatuur overeenkomstig </w:t>
            </w:r>
            <w:proofErr w:type="spellStart"/>
            <w:r w:rsidRPr="00AE2658">
              <w:rPr>
                <w:sz w:val="20"/>
              </w:rPr>
              <w:t>Lambinon</w:t>
            </w:r>
            <w:proofErr w:type="spellEnd"/>
            <w:r w:rsidRPr="00AE2658">
              <w:rPr>
                <w:sz w:val="20"/>
              </w:rPr>
              <w:t xml:space="preserve"> et al. (1998).</w:t>
            </w:r>
          </w:p>
        </w:tc>
      </w:tr>
      <w:tr w:rsidR="00F845A1" w:rsidRPr="00AE2658" w:rsidTr="00672CF2">
        <w:tc>
          <w:tcPr>
            <w:tcW w:w="3085" w:type="dxa"/>
          </w:tcPr>
          <w:p w:rsidR="00F845A1" w:rsidRPr="00AE2658" w:rsidRDefault="00F845A1" w:rsidP="00672CF2">
            <w:pPr>
              <w:spacing w:after="120"/>
              <w:rPr>
                <w:sz w:val="20"/>
              </w:rPr>
            </w:pPr>
            <w:r w:rsidRPr="00AE2658">
              <w:rPr>
                <w:sz w:val="20"/>
              </w:rPr>
              <w:t>Laag</w:t>
            </w:r>
          </w:p>
        </w:tc>
        <w:tc>
          <w:tcPr>
            <w:tcW w:w="5560" w:type="dxa"/>
          </w:tcPr>
          <w:p w:rsidR="00F845A1" w:rsidRPr="00AE2658" w:rsidRDefault="00F845A1" w:rsidP="00672CF2">
            <w:pPr>
              <w:spacing w:after="120"/>
              <w:rPr>
                <w:sz w:val="20"/>
              </w:rPr>
            </w:pPr>
            <w:r w:rsidRPr="00AE2658">
              <w:rPr>
                <w:sz w:val="20"/>
              </w:rPr>
              <w:t xml:space="preserve">Vegetatielaag of stratum waarin het betreffende taxon is aangetroffen (BH = </w:t>
            </w:r>
            <w:proofErr w:type="spellStart"/>
            <w:r w:rsidRPr="00AE2658">
              <w:rPr>
                <w:sz w:val="20"/>
              </w:rPr>
              <w:t>boomlaag</w:t>
            </w:r>
            <w:proofErr w:type="spellEnd"/>
            <w:r w:rsidRPr="00AE2658">
              <w:rPr>
                <w:sz w:val="20"/>
              </w:rPr>
              <w:t xml:space="preserve">, SH = struiklaag, KH = </w:t>
            </w:r>
            <w:proofErr w:type="spellStart"/>
            <w:r w:rsidRPr="00AE2658">
              <w:rPr>
                <w:sz w:val="20"/>
              </w:rPr>
              <w:t>kruidlaag</w:t>
            </w:r>
            <w:proofErr w:type="spellEnd"/>
            <w:r w:rsidRPr="00AE2658">
              <w:rPr>
                <w:sz w:val="20"/>
              </w:rPr>
              <w:t xml:space="preserve">, MO = moslaag, AL = </w:t>
            </w:r>
            <w:proofErr w:type="spellStart"/>
            <w:r w:rsidRPr="00AE2658">
              <w:rPr>
                <w:sz w:val="20"/>
              </w:rPr>
              <w:t>algenlaag</w:t>
            </w:r>
            <w:proofErr w:type="spellEnd"/>
            <w:r w:rsidRPr="00AE2658">
              <w:rPr>
                <w:sz w:val="20"/>
              </w:rPr>
              <w:t>)</w:t>
            </w:r>
          </w:p>
        </w:tc>
      </w:tr>
      <w:tr w:rsidR="00F845A1" w:rsidRPr="00AE2658" w:rsidTr="00672CF2">
        <w:tc>
          <w:tcPr>
            <w:tcW w:w="3085" w:type="dxa"/>
          </w:tcPr>
          <w:p w:rsidR="00F845A1" w:rsidRPr="00AE2658" w:rsidRDefault="00F845A1" w:rsidP="00672CF2">
            <w:pPr>
              <w:spacing w:after="120"/>
              <w:rPr>
                <w:sz w:val="20"/>
              </w:rPr>
            </w:pPr>
            <w:r w:rsidRPr="00AE2658">
              <w:rPr>
                <w:sz w:val="20"/>
              </w:rPr>
              <w:t>Bedekking</w:t>
            </w:r>
          </w:p>
        </w:tc>
        <w:tc>
          <w:tcPr>
            <w:tcW w:w="5560" w:type="dxa"/>
          </w:tcPr>
          <w:p w:rsidR="00F845A1" w:rsidRPr="00AE2658" w:rsidRDefault="00F845A1" w:rsidP="00672CF2">
            <w:pPr>
              <w:spacing w:after="120"/>
              <w:rPr>
                <w:sz w:val="20"/>
              </w:rPr>
            </w:pPr>
            <w:r w:rsidRPr="00AE2658">
              <w:rPr>
                <w:sz w:val="20"/>
              </w:rPr>
              <w:t xml:space="preserve">Het percentage van het proefvlak dat het betreffende taxon bedekt bij verticale projectie ervan. Dit is een conversie van de oorspronkelijk gebruikte </w:t>
            </w:r>
            <w:proofErr w:type="spellStart"/>
            <w:r w:rsidRPr="00AE2658">
              <w:rPr>
                <w:sz w:val="20"/>
              </w:rPr>
              <w:t>Londoschaal</w:t>
            </w:r>
            <w:proofErr w:type="spellEnd"/>
            <w:r w:rsidRPr="00AE2658">
              <w:rPr>
                <w:sz w:val="20"/>
              </w:rPr>
              <w:t>.</w:t>
            </w:r>
          </w:p>
        </w:tc>
      </w:tr>
    </w:tbl>
    <w:p w:rsidR="00F845A1" w:rsidRPr="00980F00" w:rsidRDefault="00F845A1" w:rsidP="00F845A1"/>
    <w:p w:rsidR="00F845A1" w:rsidRDefault="00F845A1" w:rsidP="00F845A1">
      <w:pPr>
        <w:pStyle w:val="Kop2"/>
        <w:tabs>
          <w:tab w:val="clear" w:pos="3686"/>
          <w:tab w:val="num" w:pos="576"/>
          <w:tab w:val="left" w:pos="851"/>
        </w:tabs>
        <w:spacing w:before="180" w:after="120"/>
        <w:ind w:left="576" w:hanging="576"/>
        <w:contextualSpacing w:val="0"/>
      </w:pPr>
      <w:bookmarkStart w:id="22" w:name="_Toc484173757"/>
      <w:bookmarkStart w:id="23" w:name="_Toc514055154"/>
      <w:bookmarkStart w:id="24" w:name="_Toc50486528"/>
      <w:r>
        <w:t>Exploratieve data-analyse</w:t>
      </w:r>
      <w:bookmarkEnd w:id="22"/>
      <w:r>
        <w:t xml:space="preserve"> voor de hogere planten</w:t>
      </w:r>
      <w:bookmarkEnd w:id="23"/>
      <w:bookmarkEnd w:id="24"/>
    </w:p>
    <w:p w:rsidR="00F845A1" w:rsidRDefault="00F845A1" w:rsidP="00F845A1">
      <w:r>
        <w:t>Het herhaald maken van vegetatieopnames van permanente kwadraten levert data die gebruikt kunnen worden om specifieke kwaliteitsparameters voor schorvegetaties te berekenen. We geven enkele voorbeelden van dergelijke kwaliteitsparameters, al dienen deze nog verder uitgewerkt te worden. Ook kunnen patronen afgeleid worden uit de vegetatieopnames van de permanente kwadraten waaruit hypotheses voortvloeien omtrent oorzaken en mechanismen die vervolgens kunnen getest worden of verdere uitwerking of analyse van de data vereisen (Bakker et al. 1996).</w:t>
      </w:r>
    </w:p>
    <w:p w:rsidR="00F845A1" w:rsidRPr="000D3AB6" w:rsidRDefault="00F845A1" w:rsidP="00F845A1">
      <w:pPr>
        <w:pStyle w:val="Kop3"/>
        <w:keepLines w:val="0"/>
        <w:tabs>
          <w:tab w:val="clear" w:pos="3686"/>
          <w:tab w:val="num" w:pos="1571"/>
        </w:tabs>
        <w:spacing w:before="240"/>
        <w:ind w:left="1571" w:hanging="720"/>
        <w:contextualSpacing w:val="0"/>
        <w:jc w:val="both"/>
      </w:pPr>
      <w:bookmarkStart w:id="25" w:name="_Toc50486529"/>
      <w:r w:rsidRPr="000D3AB6">
        <w:t>Veranderingen in aantal en bedekking van invasieve exoten</w:t>
      </w:r>
      <w:bookmarkEnd w:id="25"/>
    </w:p>
    <w:p w:rsidR="00F845A1" w:rsidRDefault="00F845A1" w:rsidP="00F845A1">
      <w:r>
        <w:t>Het totaal aantal permanente kwadraten op de zoetwaterschorren bedraagt 148. Deze plots zijn niet willekeurig verdeeld over de verschillende vegetatietypes. Om een randomfactor in de data te brengen zijn random 100 plots of permanente kwadraten van de 148 geselecteerd. De vegetatieopnames van deze plots zijn gebruikt om veranderingen in de aan- of afwezigheid van reuzenbalsemien (</w:t>
      </w:r>
      <w:proofErr w:type="spellStart"/>
      <w:r w:rsidRPr="00EF710B">
        <w:rPr>
          <w:i/>
        </w:rPr>
        <w:t>Impatiens</w:t>
      </w:r>
      <w:proofErr w:type="spellEnd"/>
      <w:r w:rsidRPr="00EF710B">
        <w:rPr>
          <w:i/>
        </w:rPr>
        <w:t xml:space="preserve"> </w:t>
      </w:r>
      <w:proofErr w:type="spellStart"/>
      <w:r w:rsidRPr="00EF710B">
        <w:rPr>
          <w:i/>
        </w:rPr>
        <w:t>glandulifera</w:t>
      </w:r>
      <w:proofErr w:type="spellEnd"/>
      <w:r>
        <w:t xml:space="preserve">) tussen 2013 en 2019 na te gaan. Ook de verandering in de gemiddelde bedekking is berekend op basis van deze 100 permanente kwadraten. </w:t>
      </w:r>
    </w:p>
    <w:p w:rsidR="00F845A1" w:rsidRDefault="00F845A1" w:rsidP="00F845A1">
      <w:r>
        <w:t>In 2019 was reuzenbalsemien in 84% van de plots aanwezig daar waar dat in 2013 82% was (</w:t>
      </w:r>
      <w:r>
        <w:fldChar w:fldCharType="begin"/>
      </w:r>
      <w:r>
        <w:instrText xml:space="preserve"> REF _Ref45127459 \h </w:instrText>
      </w:r>
      <w:r>
        <w:fldChar w:fldCharType="separate"/>
      </w:r>
      <w:r>
        <w:t xml:space="preserve">Tabel </w:t>
      </w:r>
      <w:r>
        <w:rPr>
          <w:noProof/>
        </w:rPr>
        <w:t>5</w:t>
      </w:r>
      <w:r>
        <w:noBreakHyphen/>
      </w:r>
      <w:r>
        <w:rPr>
          <w:noProof/>
        </w:rPr>
        <w:t>3</w:t>
      </w:r>
      <w:r>
        <w:fldChar w:fldCharType="end"/>
      </w:r>
      <w:r>
        <w:t xml:space="preserve">). Een overgrote meerderheid van de plots, 72%, waren reeds in 2013 </w:t>
      </w:r>
      <w:proofErr w:type="spellStart"/>
      <w:r>
        <w:t>geïnvadeerd</w:t>
      </w:r>
      <w:proofErr w:type="spellEnd"/>
      <w:r>
        <w:t xml:space="preserve">. Toch is er een vrij hoge turnover. In 12% van de plots was reuzenbalsemien afwezig in 2013 maar aanwezig in 2019. In deze nieuw </w:t>
      </w:r>
      <w:proofErr w:type="spellStart"/>
      <w:r>
        <w:t>geïnvadeerde</w:t>
      </w:r>
      <w:proofErr w:type="spellEnd"/>
      <w:r>
        <w:t xml:space="preserve"> plots bereikt reuzenbalsemien trouwens direct </w:t>
      </w:r>
      <w:r w:rsidRPr="000D3AB6">
        <w:t xml:space="preserve">hoge bedekkingen, een gemiddelde bedekking van niet minder dan 30% is becijferd. Anderzijds is reuzenbalsemien in 10% van de </w:t>
      </w:r>
      <w:proofErr w:type="spellStart"/>
      <w:r w:rsidRPr="000D3AB6">
        <w:t>PQ’s</w:t>
      </w:r>
      <w:proofErr w:type="spellEnd"/>
      <w:r w:rsidRPr="000D3AB6">
        <w:t xml:space="preserve"> of plots verdwenen (</w:t>
      </w:r>
      <w:r w:rsidRPr="000D3AB6">
        <w:fldChar w:fldCharType="begin"/>
      </w:r>
      <w:r w:rsidRPr="000D3AB6">
        <w:instrText xml:space="preserve"> REF _Ref45127459 \h </w:instrText>
      </w:r>
      <w:r>
        <w:instrText xml:space="preserve"> \* MERGEFORMAT </w:instrText>
      </w:r>
      <w:r w:rsidRPr="000D3AB6">
        <w:fldChar w:fldCharType="separate"/>
      </w:r>
      <w:r>
        <w:t xml:space="preserve">Tabel </w:t>
      </w:r>
      <w:r>
        <w:rPr>
          <w:noProof/>
        </w:rPr>
        <w:t>5</w:t>
      </w:r>
      <w:r>
        <w:rPr>
          <w:noProof/>
        </w:rPr>
        <w:noBreakHyphen/>
        <w:t>3</w:t>
      </w:r>
      <w:r w:rsidRPr="000D3AB6">
        <w:fldChar w:fldCharType="end"/>
      </w:r>
      <w:r w:rsidRPr="000D3AB6">
        <w:t>) (zie</w:t>
      </w:r>
      <w:r>
        <w:t xml:space="preserve"> ook</w:t>
      </w:r>
      <w:r w:rsidRPr="000D3AB6">
        <w:t xml:space="preserve"> </w:t>
      </w:r>
      <w:r>
        <w:fldChar w:fldCharType="begin"/>
      </w:r>
      <w:r>
        <w:instrText xml:space="preserve"> REF _Ref45127719 \r \h </w:instrText>
      </w:r>
      <w:r>
        <w:fldChar w:fldCharType="separate"/>
      </w:r>
      <w:r>
        <w:t>5.3.2</w:t>
      </w:r>
      <w:r>
        <w:fldChar w:fldCharType="end"/>
      </w:r>
      <w:r>
        <w:t xml:space="preserve">). </w:t>
      </w:r>
      <w:r w:rsidRPr="000D3AB6">
        <w:t>De gemiddelde bedekking van reuzenbalsemien is min of meer gelijk gebleven (</w:t>
      </w:r>
      <w:r w:rsidRPr="000D3AB6">
        <w:fldChar w:fldCharType="begin"/>
      </w:r>
      <w:r w:rsidRPr="000D3AB6">
        <w:instrText xml:space="preserve"> REF _Ref45127433 \h </w:instrText>
      </w:r>
      <w:r>
        <w:instrText xml:space="preserve"> \* MERGEFORMAT </w:instrText>
      </w:r>
      <w:r w:rsidRPr="000D3AB6">
        <w:fldChar w:fldCharType="separate"/>
      </w:r>
      <w:r>
        <w:t xml:space="preserve">Figuur </w:t>
      </w:r>
      <w:r>
        <w:rPr>
          <w:noProof/>
        </w:rPr>
        <w:t>5</w:t>
      </w:r>
      <w:r>
        <w:rPr>
          <w:noProof/>
        </w:rPr>
        <w:noBreakHyphen/>
        <w:t>1</w:t>
      </w:r>
      <w:r w:rsidRPr="000D3AB6">
        <w:fldChar w:fldCharType="end"/>
      </w:r>
      <w:r w:rsidRPr="000D3AB6">
        <w:t>)</w:t>
      </w:r>
    </w:p>
    <w:p w:rsidR="00F845A1" w:rsidRDefault="00F845A1" w:rsidP="00F845A1">
      <w:pPr>
        <w:tabs>
          <w:tab w:val="clear" w:pos="3686"/>
        </w:tabs>
        <w:spacing w:after="200" w:line="276" w:lineRule="auto"/>
        <w:rPr>
          <w:bCs/>
          <w:sz w:val="20"/>
          <w:szCs w:val="18"/>
        </w:rPr>
      </w:pPr>
      <w:bookmarkStart w:id="26" w:name="_Ref45127459"/>
      <w:r>
        <w:br w:type="page"/>
      </w:r>
    </w:p>
    <w:p w:rsidR="00F845A1" w:rsidRDefault="00F845A1" w:rsidP="00F845A1">
      <w:pPr>
        <w:pStyle w:val="Bijschrift"/>
      </w:pPr>
      <w:bookmarkStart w:id="27" w:name="_Toc50486726"/>
      <w:r>
        <w:lastRenderedPageBreak/>
        <w:t xml:space="preserve">Tabel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Tabel \* ARABIC \s 1 </w:instrText>
      </w:r>
      <w:r>
        <w:fldChar w:fldCharType="separate"/>
      </w:r>
      <w:r>
        <w:rPr>
          <w:noProof/>
        </w:rPr>
        <w:t>3</w:t>
      </w:r>
      <w:r>
        <w:rPr>
          <w:noProof/>
        </w:rPr>
        <w:fldChar w:fldCharType="end"/>
      </w:r>
      <w:bookmarkEnd w:id="26"/>
      <w:r>
        <w:t xml:space="preserve"> Het aandeel plots of </w:t>
      </w:r>
      <w:proofErr w:type="spellStart"/>
      <w:r>
        <w:t>PQ’s</w:t>
      </w:r>
      <w:proofErr w:type="spellEnd"/>
      <w:r>
        <w:t xml:space="preserve"> waarin reuzenbalsemien (</w:t>
      </w:r>
      <w:proofErr w:type="spellStart"/>
      <w:r w:rsidRPr="000D3AB6">
        <w:rPr>
          <w:i/>
        </w:rPr>
        <w:t>Impatiens</w:t>
      </w:r>
      <w:proofErr w:type="spellEnd"/>
      <w:r w:rsidRPr="000D3AB6">
        <w:rPr>
          <w:i/>
        </w:rPr>
        <w:t xml:space="preserve"> </w:t>
      </w:r>
      <w:proofErr w:type="spellStart"/>
      <w:r w:rsidRPr="000D3AB6">
        <w:rPr>
          <w:i/>
        </w:rPr>
        <w:t>glandulifera</w:t>
      </w:r>
      <w:proofErr w:type="spellEnd"/>
      <w:r>
        <w:t>) aanwezig is in 2013 en 2019.</w:t>
      </w:r>
      <w:bookmarkEnd w:id="27"/>
    </w:p>
    <w:tbl>
      <w:tblPr>
        <w:tblW w:w="3317" w:type="dxa"/>
        <w:jc w:val="center"/>
        <w:tblInd w:w="55" w:type="dxa"/>
        <w:tblCellMar>
          <w:left w:w="70" w:type="dxa"/>
          <w:right w:w="70" w:type="dxa"/>
        </w:tblCellMar>
        <w:tblLook w:val="04A0" w:firstRow="1" w:lastRow="0" w:firstColumn="1" w:lastColumn="0" w:noHBand="0" w:noVBand="1"/>
      </w:tblPr>
      <w:tblGrid>
        <w:gridCol w:w="422"/>
        <w:gridCol w:w="975"/>
        <w:gridCol w:w="866"/>
        <w:gridCol w:w="1054"/>
      </w:tblGrid>
      <w:tr w:rsidR="00F845A1" w:rsidRPr="00AE2658" w:rsidTr="00672CF2">
        <w:trPr>
          <w:trHeight w:val="288"/>
          <w:jc w:val="center"/>
        </w:trPr>
        <w:tc>
          <w:tcPr>
            <w:tcW w:w="422" w:type="dxa"/>
            <w:tcBorders>
              <w:top w:val="nil"/>
              <w:left w:val="nil"/>
              <w:bottom w:val="nil"/>
              <w:right w:val="nil"/>
            </w:tcBorders>
            <w:shd w:val="clear" w:color="auto" w:fill="auto"/>
            <w:noWrap/>
            <w:vAlign w:val="bottom"/>
            <w:hideMark/>
          </w:tcPr>
          <w:p w:rsidR="00F845A1" w:rsidRPr="00AE2658" w:rsidRDefault="00F845A1" w:rsidP="00672CF2">
            <w:pPr>
              <w:spacing w:after="0"/>
              <w:rPr>
                <w:sz w:val="20"/>
                <w:lang w:eastAsia="nl-BE"/>
              </w:rPr>
            </w:pPr>
          </w:p>
        </w:tc>
        <w:tc>
          <w:tcPr>
            <w:tcW w:w="975" w:type="dxa"/>
            <w:tcBorders>
              <w:top w:val="nil"/>
              <w:left w:val="nil"/>
              <w:bottom w:val="nil"/>
              <w:right w:val="nil"/>
            </w:tcBorders>
            <w:shd w:val="clear" w:color="auto" w:fill="auto"/>
            <w:noWrap/>
            <w:vAlign w:val="bottom"/>
            <w:hideMark/>
          </w:tcPr>
          <w:p w:rsidR="00F845A1" w:rsidRPr="00AE2658" w:rsidRDefault="00F845A1" w:rsidP="00672CF2">
            <w:pPr>
              <w:spacing w:after="0"/>
              <w:rPr>
                <w:sz w:val="20"/>
                <w:lang w:eastAsia="nl-BE"/>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F845A1" w:rsidRPr="00AE2658" w:rsidRDefault="00F845A1" w:rsidP="00672CF2">
            <w:pPr>
              <w:spacing w:after="0"/>
              <w:jc w:val="center"/>
              <w:rPr>
                <w:sz w:val="20"/>
                <w:lang w:eastAsia="nl-BE"/>
              </w:rPr>
            </w:pPr>
            <w:r w:rsidRPr="00AE2658">
              <w:rPr>
                <w:sz w:val="20"/>
                <w:lang w:eastAsia="nl-BE"/>
              </w:rPr>
              <w:t>2019</w:t>
            </w:r>
          </w:p>
        </w:tc>
      </w:tr>
      <w:tr w:rsidR="00F845A1" w:rsidRPr="00AE2658" w:rsidTr="00672CF2">
        <w:trPr>
          <w:trHeight w:val="288"/>
          <w:jc w:val="center"/>
        </w:trPr>
        <w:tc>
          <w:tcPr>
            <w:tcW w:w="422" w:type="dxa"/>
            <w:tcBorders>
              <w:top w:val="nil"/>
              <w:left w:val="nil"/>
              <w:bottom w:val="nil"/>
              <w:right w:val="nil"/>
            </w:tcBorders>
            <w:shd w:val="clear" w:color="auto" w:fill="auto"/>
            <w:noWrap/>
            <w:vAlign w:val="bottom"/>
            <w:hideMark/>
          </w:tcPr>
          <w:p w:rsidR="00F845A1" w:rsidRPr="00AE2658" w:rsidRDefault="00F845A1" w:rsidP="00672CF2">
            <w:pPr>
              <w:spacing w:after="0"/>
              <w:rPr>
                <w:sz w:val="20"/>
                <w:lang w:eastAsia="nl-BE"/>
              </w:rPr>
            </w:pPr>
          </w:p>
        </w:tc>
        <w:tc>
          <w:tcPr>
            <w:tcW w:w="975" w:type="dxa"/>
            <w:tcBorders>
              <w:top w:val="nil"/>
              <w:left w:val="nil"/>
              <w:bottom w:val="nil"/>
              <w:right w:val="nil"/>
            </w:tcBorders>
            <w:shd w:val="clear" w:color="auto" w:fill="auto"/>
            <w:noWrap/>
            <w:vAlign w:val="bottom"/>
            <w:hideMark/>
          </w:tcPr>
          <w:p w:rsidR="00F845A1" w:rsidRPr="00AE2658" w:rsidRDefault="00F845A1" w:rsidP="00672CF2">
            <w:pPr>
              <w:spacing w:after="0"/>
              <w:rPr>
                <w:sz w:val="20"/>
                <w:lang w:eastAsia="nl-BE"/>
              </w:rPr>
            </w:pPr>
          </w:p>
        </w:tc>
        <w:tc>
          <w:tcPr>
            <w:tcW w:w="866" w:type="dxa"/>
            <w:tcBorders>
              <w:top w:val="nil"/>
              <w:left w:val="single" w:sz="4" w:space="0" w:color="auto"/>
              <w:bottom w:val="single" w:sz="4" w:space="0" w:color="auto"/>
              <w:right w:val="single" w:sz="4" w:space="0" w:color="auto"/>
            </w:tcBorders>
            <w:shd w:val="clear" w:color="000000" w:fill="D9D9D9"/>
            <w:noWrap/>
            <w:vAlign w:val="bottom"/>
            <w:hideMark/>
          </w:tcPr>
          <w:p w:rsidR="00F845A1" w:rsidRPr="00AE2658" w:rsidRDefault="00F845A1" w:rsidP="00672CF2">
            <w:pPr>
              <w:spacing w:after="0"/>
              <w:jc w:val="center"/>
              <w:rPr>
                <w:sz w:val="20"/>
                <w:lang w:eastAsia="nl-BE"/>
              </w:rPr>
            </w:pPr>
            <w:r w:rsidRPr="00AE2658">
              <w:rPr>
                <w:sz w:val="20"/>
                <w:lang w:eastAsia="nl-BE"/>
              </w:rPr>
              <w:t>afwezig</w:t>
            </w:r>
          </w:p>
        </w:tc>
        <w:tc>
          <w:tcPr>
            <w:tcW w:w="1054" w:type="dxa"/>
            <w:tcBorders>
              <w:top w:val="nil"/>
              <w:left w:val="nil"/>
              <w:bottom w:val="single" w:sz="4" w:space="0" w:color="auto"/>
              <w:right w:val="single" w:sz="4" w:space="0" w:color="auto"/>
            </w:tcBorders>
            <w:shd w:val="clear" w:color="000000" w:fill="D9D9D9"/>
            <w:noWrap/>
            <w:vAlign w:val="bottom"/>
            <w:hideMark/>
          </w:tcPr>
          <w:p w:rsidR="00F845A1" w:rsidRPr="00AE2658" w:rsidRDefault="00F845A1" w:rsidP="00672CF2">
            <w:pPr>
              <w:spacing w:after="0"/>
              <w:jc w:val="center"/>
              <w:rPr>
                <w:sz w:val="20"/>
                <w:lang w:eastAsia="nl-BE"/>
              </w:rPr>
            </w:pPr>
            <w:r w:rsidRPr="00AE2658">
              <w:rPr>
                <w:sz w:val="20"/>
                <w:lang w:eastAsia="nl-BE"/>
              </w:rPr>
              <w:t>aanwezig</w:t>
            </w:r>
          </w:p>
        </w:tc>
      </w:tr>
      <w:tr w:rsidR="00F845A1" w:rsidRPr="00AE2658" w:rsidTr="00672CF2">
        <w:trPr>
          <w:trHeight w:val="288"/>
          <w:jc w:val="center"/>
        </w:trPr>
        <w:tc>
          <w:tcPr>
            <w:tcW w:w="422" w:type="dxa"/>
            <w:vMerge w:val="restart"/>
            <w:tcBorders>
              <w:top w:val="single" w:sz="4" w:space="0" w:color="auto"/>
              <w:left w:val="single" w:sz="4" w:space="0" w:color="auto"/>
              <w:bottom w:val="single" w:sz="4" w:space="0" w:color="000000"/>
              <w:right w:val="single" w:sz="4" w:space="0" w:color="auto"/>
            </w:tcBorders>
            <w:shd w:val="clear" w:color="000000" w:fill="D9D9D9"/>
            <w:noWrap/>
            <w:textDirection w:val="btLr"/>
            <w:vAlign w:val="center"/>
            <w:hideMark/>
          </w:tcPr>
          <w:p w:rsidR="00F845A1" w:rsidRPr="00AE2658" w:rsidRDefault="00F845A1" w:rsidP="00672CF2">
            <w:pPr>
              <w:spacing w:after="0"/>
              <w:jc w:val="center"/>
              <w:rPr>
                <w:sz w:val="20"/>
                <w:lang w:eastAsia="nl-BE"/>
              </w:rPr>
            </w:pPr>
            <w:r w:rsidRPr="00AE2658">
              <w:rPr>
                <w:sz w:val="20"/>
                <w:lang w:eastAsia="nl-BE"/>
              </w:rPr>
              <w:t>2013</w:t>
            </w:r>
          </w:p>
        </w:tc>
        <w:tc>
          <w:tcPr>
            <w:tcW w:w="975" w:type="dxa"/>
            <w:tcBorders>
              <w:top w:val="single" w:sz="4" w:space="0" w:color="auto"/>
              <w:left w:val="nil"/>
              <w:bottom w:val="single" w:sz="4" w:space="0" w:color="auto"/>
              <w:right w:val="single" w:sz="4" w:space="0" w:color="auto"/>
            </w:tcBorders>
            <w:shd w:val="clear" w:color="000000" w:fill="D9D9D9"/>
            <w:noWrap/>
            <w:vAlign w:val="bottom"/>
            <w:hideMark/>
          </w:tcPr>
          <w:p w:rsidR="00F845A1" w:rsidRPr="00AE2658" w:rsidRDefault="00F845A1" w:rsidP="00672CF2">
            <w:pPr>
              <w:spacing w:after="0"/>
              <w:rPr>
                <w:sz w:val="20"/>
                <w:lang w:eastAsia="nl-BE"/>
              </w:rPr>
            </w:pPr>
            <w:r w:rsidRPr="00AE2658">
              <w:rPr>
                <w:sz w:val="20"/>
                <w:lang w:eastAsia="nl-BE"/>
              </w:rPr>
              <w:t>afwezig</w:t>
            </w:r>
          </w:p>
        </w:tc>
        <w:tc>
          <w:tcPr>
            <w:tcW w:w="866" w:type="dxa"/>
            <w:tcBorders>
              <w:top w:val="nil"/>
              <w:left w:val="nil"/>
              <w:bottom w:val="single" w:sz="4" w:space="0" w:color="auto"/>
              <w:right w:val="single" w:sz="4" w:space="0" w:color="auto"/>
            </w:tcBorders>
            <w:shd w:val="clear" w:color="auto" w:fill="auto"/>
            <w:noWrap/>
            <w:vAlign w:val="bottom"/>
            <w:hideMark/>
          </w:tcPr>
          <w:p w:rsidR="00F845A1" w:rsidRPr="00AE2658" w:rsidRDefault="00F845A1" w:rsidP="00672CF2">
            <w:pPr>
              <w:spacing w:after="0"/>
              <w:jc w:val="center"/>
              <w:rPr>
                <w:sz w:val="20"/>
                <w:lang w:eastAsia="nl-BE"/>
              </w:rPr>
            </w:pPr>
            <w:r w:rsidRPr="00AE2658">
              <w:rPr>
                <w:sz w:val="20"/>
                <w:lang w:eastAsia="nl-BE"/>
              </w:rPr>
              <w:t>6</w:t>
            </w:r>
          </w:p>
        </w:tc>
        <w:tc>
          <w:tcPr>
            <w:tcW w:w="1054" w:type="dxa"/>
            <w:tcBorders>
              <w:top w:val="nil"/>
              <w:left w:val="nil"/>
              <w:bottom w:val="single" w:sz="4" w:space="0" w:color="auto"/>
              <w:right w:val="single" w:sz="4" w:space="0" w:color="auto"/>
            </w:tcBorders>
            <w:shd w:val="clear" w:color="auto" w:fill="auto"/>
            <w:noWrap/>
            <w:vAlign w:val="bottom"/>
            <w:hideMark/>
          </w:tcPr>
          <w:p w:rsidR="00F845A1" w:rsidRPr="00AE2658" w:rsidRDefault="00F845A1" w:rsidP="00672CF2">
            <w:pPr>
              <w:spacing w:after="0"/>
              <w:jc w:val="center"/>
              <w:rPr>
                <w:sz w:val="20"/>
                <w:lang w:eastAsia="nl-BE"/>
              </w:rPr>
            </w:pPr>
            <w:r w:rsidRPr="00AE2658">
              <w:rPr>
                <w:sz w:val="20"/>
                <w:lang w:eastAsia="nl-BE"/>
              </w:rPr>
              <w:t>12</w:t>
            </w:r>
          </w:p>
        </w:tc>
      </w:tr>
      <w:tr w:rsidR="00F845A1" w:rsidRPr="00AE2658" w:rsidTr="00672CF2">
        <w:trPr>
          <w:trHeight w:val="288"/>
          <w:jc w:val="center"/>
        </w:trPr>
        <w:tc>
          <w:tcPr>
            <w:tcW w:w="422" w:type="dxa"/>
            <w:vMerge/>
            <w:tcBorders>
              <w:top w:val="single" w:sz="4" w:space="0" w:color="auto"/>
              <w:left w:val="single" w:sz="4" w:space="0" w:color="auto"/>
              <w:bottom w:val="single" w:sz="4" w:space="0" w:color="000000"/>
              <w:right w:val="single" w:sz="4" w:space="0" w:color="auto"/>
            </w:tcBorders>
            <w:vAlign w:val="center"/>
            <w:hideMark/>
          </w:tcPr>
          <w:p w:rsidR="00F845A1" w:rsidRPr="00AE2658" w:rsidRDefault="00F845A1" w:rsidP="00672CF2">
            <w:pPr>
              <w:spacing w:after="0"/>
              <w:rPr>
                <w:sz w:val="20"/>
                <w:lang w:eastAsia="nl-BE"/>
              </w:rPr>
            </w:pPr>
          </w:p>
        </w:tc>
        <w:tc>
          <w:tcPr>
            <w:tcW w:w="975" w:type="dxa"/>
            <w:tcBorders>
              <w:top w:val="nil"/>
              <w:left w:val="nil"/>
              <w:bottom w:val="single" w:sz="4" w:space="0" w:color="auto"/>
              <w:right w:val="single" w:sz="4" w:space="0" w:color="auto"/>
            </w:tcBorders>
            <w:shd w:val="clear" w:color="000000" w:fill="D9D9D9"/>
            <w:noWrap/>
            <w:vAlign w:val="bottom"/>
            <w:hideMark/>
          </w:tcPr>
          <w:p w:rsidR="00F845A1" w:rsidRPr="00AE2658" w:rsidRDefault="00F845A1" w:rsidP="00672CF2">
            <w:pPr>
              <w:spacing w:after="0"/>
              <w:rPr>
                <w:sz w:val="20"/>
                <w:lang w:eastAsia="nl-BE"/>
              </w:rPr>
            </w:pPr>
            <w:r w:rsidRPr="00AE2658">
              <w:rPr>
                <w:sz w:val="20"/>
                <w:lang w:eastAsia="nl-BE"/>
              </w:rPr>
              <w:t>aanwezig</w:t>
            </w:r>
          </w:p>
        </w:tc>
        <w:tc>
          <w:tcPr>
            <w:tcW w:w="866" w:type="dxa"/>
            <w:tcBorders>
              <w:top w:val="nil"/>
              <w:left w:val="nil"/>
              <w:bottom w:val="single" w:sz="4" w:space="0" w:color="auto"/>
              <w:right w:val="single" w:sz="4" w:space="0" w:color="auto"/>
            </w:tcBorders>
            <w:shd w:val="clear" w:color="auto" w:fill="auto"/>
            <w:noWrap/>
            <w:vAlign w:val="bottom"/>
            <w:hideMark/>
          </w:tcPr>
          <w:p w:rsidR="00F845A1" w:rsidRPr="00AE2658" w:rsidRDefault="00F845A1" w:rsidP="00672CF2">
            <w:pPr>
              <w:spacing w:after="0"/>
              <w:jc w:val="center"/>
              <w:rPr>
                <w:sz w:val="20"/>
                <w:lang w:eastAsia="nl-BE"/>
              </w:rPr>
            </w:pPr>
            <w:r w:rsidRPr="00AE2658">
              <w:rPr>
                <w:sz w:val="20"/>
                <w:lang w:eastAsia="nl-BE"/>
              </w:rPr>
              <w:t>10</w:t>
            </w:r>
          </w:p>
        </w:tc>
        <w:tc>
          <w:tcPr>
            <w:tcW w:w="1054" w:type="dxa"/>
            <w:tcBorders>
              <w:top w:val="nil"/>
              <w:left w:val="nil"/>
              <w:bottom w:val="single" w:sz="4" w:space="0" w:color="auto"/>
              <w:right w:val="single" w:sz="4" w:space="0" w:color="auto"/>
            </w:tcBorders>
            <w:shd w:val="clear" w:color="auto" w:fill="auto"/>
            <w:noWrap/>
            <w:vAlign w:val="bottom"/>
            <w:hideMark/>
          </w:tcPr>
          <w:p w:rsidR="00F845A1" w:rsidRPr="00AE2658" w:rsidRDefault="00F845A1" w:rsidP="00672CF2">
            <w:pPr>
              <w:spacing w:after="0"/>
              <w:jc w:val="center"/>
              <w:rPr>
                <w:sz w:val="20"/>
                <w:lang w:eastAsia="nl-BE"/>
              </w:rPr>
            </w:pPr>
            <w:r w:rsidRPr="00AE2658">
              <w:rPr>
                <w:sz w:val="20"/>
                <w:lang w:eastAsia="nl-BE"/>
              </w:rPr>
              <w:t>72</w:t>
            </w:r>
          </w:p>
        </w:tc>
      </w:tr>
    </w:tbl>
    <w:p w:rsidR="00F845A1" w:rsidRDefault="00F845A1" w:rsidP="00F845A1"/>
    <w:p w:rsidR="00F845A1" w:rsidRDefault="00F845A1" w:rsidP="00F845A1"/>
    <w:p w:rsidR="00F845A1" w:rsidRDefault="00F845A1" w:rsidP="00F845A1">
      <w:pPr>
        <w:keepNext/>
        <w:jc w:val="center"/>
      </w:pPr>
      <w:r>
        <w:rPr>
          <w:noProof/>
          <w:lang w:eastAsia="nl-BE"/>
        </w:rPr>
        <w:drawing>
          <wp:inline distT="0" distB="0" distL="0" distR="0" wp14:anchorId="2B960397" wp14:editId="3514718D">
            <wp:extent cx="3665220" cy="2933700"/>
            <wp:effectExtent l="0" t="0" r="0" b="0"/>
            <wp:docPr id="1026" name="Afbeelding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Impatie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5220" cy="2933700"/>
                    </a:xfrm>
                    <a:prstGeom prst="rect">
                      <a:avLst/>
                    </a:prstGeom>
                  </pic:spPr>
                </pic:pic>
              </a:graphicData>
            </a:graphic>
          </wp:inline>
        </w:drawing>
      </w:r>
    </w:p>
    <w:p w:rsidR="00F845A1" w:rsidRDefault="00F845A1" w:rsidP="00F845A1">
      <w:pPr>
        <w:pStyle w:val="Bijschrift"/>
      </w:pPr>
      <w:bookmarkStart w:id="28" w:name="_Ref45127433"/>
      <w:bookmarkStart w:id="29" w:name="_Toc50486645"/>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1</w:t>
      </w:r>
      <w:r>
        <w:rPr>
          <w:noProof/>
        </w:rPr>
        <w:fldChar w:fldCharType="end"/>
      </w:r>
      <w:bookmarkEnd w:id="28"/>
      <w:r>
        <w:t xml:space="preserve"> </w:t>
      </w:r>
      <w:r w:rsidRPr="006A4EFD">
        <w:t>Gemiddelde bedekking van reuzenbalsemien (</w:t>
      </w:r>
      <w:proofErr w:type="spellStart"/>
      <w:r w:rsidRPr="000D3AB6">
        <w:rPr>
          <w:i/>
        </w:rPr>
        <w:t>Impatiens</w:t>
      </w:r>
      <w:proofErr w:type="spellEnd"/>
      <w:r w:rsidRPr="000D3AB6">
        <w:rPr>
          <w:i/>
        </w:rPr>
        <w:t xml:space="preserve"> </w:t>
      </w:r>
      <w:proofErr w:type="spellStart"/>
      <w:r w:rsidRPr="000D3AB6">
        <w:rPr>
          <w:i/>
        </w:rPr>
        <w:t>glandulifera</w:t>
      </w:r>
      <w:proofErr w:type="spellEnd"/>
      <w:r w:rsidRPr="006A4EFD">
        <w:t xml:space="preserve">) in 100 </w:t>
      </w:r>
      <w:proofErr w:type="spellStart"/>
      <w:r w:rsidRPr="006A4EFD">
        <w:t>PQ’s</w:t>
      </w:r>
      <w:proofErr w:type="spellEnd"/>
      <w:r w:rsidRPr="006A4EFD">
        <w:t xml:space="preserve"> in de zoetwaterzone van het Schelde-estuarium</w:t>
      </w:r>
      <w:r>
        <w:t xml:space="preserve"> (SE: standaardfout)</w:t>
      </w:r>
      <w:r w:rsidRPr="006A4EFD">
        <w:t>.</w:t>
      </w:r>
      <w:bookmarkEnd w:id="29"/>
    </w:p>
    <w:p w:rsidR="00F845A1" w:rsidRDefault="00F845A1" w:rsidP="00F845A1">
      <w:r>
        <w:t>Een andere invasieve exoot die veelvuldig op de dijktaluds wordt aangetroffen, is Japanse duizendknoop (</w:t>
      </w:r>
      <w:proofErr w:type="spellStart"/>
      <w:r w:rsidRPr="00735D57">
        <w:rPr>
          <w:i/>
        </w:rPr>
        <w:t>Fallopia</w:t>
      </w:r>
      <w:proofErr w:type="spellEnd"/>
      <w:r w:rsidRPr="00735D57">
        <w:rPr>
          <w:i/>
        </w:rPr>
        <w:t xml:space="preserve"> </w:t>
      </w:r>
      <w:proofErr w:type="spellStart"/>
      <w:r w:rsidRPr="00735D57">
        <w:rPr>
          <w:i/>
        </w:rPr>
        <w:t>japonica</w:t>
      </w:r>
      <w:proofErr w:type="spellEnd"/>
      <w:r>
        <w:t>) en verwante soorten en hybriden. 13 kilometer dijktraject wordt momenteel ingenomen door deze invasieve exoot (Vandevoorde et al.</w:t>
      </w:r>
      <w:r w:rsidRPr="00735D57">
        <w:t xml:space="preserve"> 2019)</w:t>
      </w:r>
      <w:r>
        <w:t>. Het gebruik van besmette grond bij de bouw van het dijklichaam is de oorzaak van dit probleem.</w:t>
      </w:r>
    </w:p>
    <w:p w:rsidR="00F845A1" w:rsidRPr="00735D57" w:rsidRDefault="00F845A1" w:rsidP="00F845A1">
      <w:r>
        <w:t xml:space="preserve">Maar ook op de schorren wordt Japanse duizendknoop steeds meer en meer aangetroffen. Dit blijkt uit de vegetatieopnames van de </w:t>
      </w:r>
      <w:proofErr w:type="spellStart"/>
      <w:r>
        <w:t>PQ’s</w:t>
      </w:r>
      <w:proofErr w:type="spellEnd"/>
      <w:r>
        <w:t xml:space="preserve">. In 2013 is Japanse duizendknoop in slechts 1 PQ aangetroffen en bedekte het er 2%. In 2019 was de bedekking toegenomen tot 4%, een verdubbeling in kwantiteit. Ook is Japanse duizendknoop in een tweede PQ aangetroffen waar het direct 10% bedekt. De kolonisatie op de schorren verloopt via stengel- of wortelstokfragmenten die zich verspreiden via het water, aanspoelen en zich vestigen. Het beheer van deze exoot dient er op gericht te zijn dat wortel- noch stengelfragmenten in het water terecht komen, en zich aldus kunnen verspreiden. </w:t>
      </w:r>
    </w:p>
    <w:p w:rsidR="00F845A1" w:rsidRDefault="00F845A1" w:rsidP="00F845A1">
      <w:r w:rsidRPr="00E7461C">
        <w:t xml:space="preserve">Sinds 2001 is goudknopje </w:t>
      </w:r>
      <w:r>
        <w:t>(</w:t>
      </w:r>
      <w:proofErr w:type="spellStart"/>
      <w:r w:rsidRPr="005F30C6">
        <w:rPr>
          <w:i/>
        </w:rPr>
        <w:t>Cotula</w:t>
      </w:r>
      <w:proofErr w:type="spellEnd"/>
      <w:r w:rsidRPr="005F30C6">
        <w:rPr>
          <w:i/>
        </w:rPr>
        <w:t xml:space="preserve"> </w:t>
      </w:r>
      <w:proofErr w:type="spellStart"/>
      <w:r w:rsidRPr="005F30C6">
        <w:rPr>
          <w:i/>
        </w:rPr>
        <w:t>coronopifolia</w:t>
      </w:r>
      <w:proofErr w:type="spellEnd"/>
      <w:r>
        <w:t>)</w:t>
      </w:r>
      <w:r w:rsidRPr="00E7461C">
        <w:t xml:space="preserve"> opnieuw aanwezig in Vlaan</w:t>
      </w:r>
      <w:r>
        <w:t>deren (</w:t>
      </w:r>
      <w:proofErr w:type="spellStart"/>
      <w:r>
        <w:t>Verloove</w:t>
      </w:r>
      <w:proofErr w:type="spellEnd"/>
      <w:r>
        <w:t xml:space="preserve"> et al. 2004). </w:t>
      </w:r>
      <w:r w:rsidRPr="00E7461C">
        <w:t>Langs de Schelde dateert de eerste waarneming van 2007 op het Groot Buitenschoor in Zandvliet. I</w:t>
      </w:r>
      <w:r>
        <w:t>n 2013 is g</w:t>
      </w:r>
      <w:r w:rsidRPr="00735D57">
        <w:t xml:space="preserve">oudknopje </w:t>
      </w:r>
      <w:r>
        <w:t xml:space="preserve">aangetroffen in 6 </w:t>
      </w:r>
      <w:proofErr w:type="spellStart"/>
      <w:r>
        <w:t>PQ’s</w:t>
      </w:r>
      <w:proofErr w:type="spellEnd"/>
      <w:r>
        <w:t xml:space="preserve">, 1 op </w:t>
      </w:r>
      <w:proofErr w:type="spellStart"/>
      <w:r>
        <w:t>Ketenisseschor</w:t>
      </w:r>
      <w:proofErr w:type="spellEnd"/>
      <w:r>
        <w:t xml:space="preserve"> Noord en 5 op </w:t>
      </w:r>
      <w:proofErr w:type="spellStart"/>
      <w:r>
        <w:t>Ketenisseschor</w:t>
      </w:r>
      <w:proofErr w:type="spellEnd"/>
      <w:r>
        <w:t xml:space="preserve"> Zuid. In 2019 is in geen enkel van deze </w:t>
      </w:r>
      <w:proofErr w:type="spellStart"/>
      <w:r>
        <w:t>PQ’s</w:t>
      </w:r>
      <w:proofErr w:type="spellEnd"/>
      <w:r>
        <w:t xml:space="preserve"> goudknopje teruggevonden maar wel in 2 </w:t>
      </w:r>
      <w:proofErr w:type="spellStart"/>
      <w:r>
        <w:t>PQ’s</w:t>
      </w:r>
      <w:proofErr w:type="spellEnd"/>
      <w:r>
        <w:t xml:space="preserve"> op het Galgenschoor in </w:t>
      </w:r>
      <w:proofErr w:type="spellStart"/>
      <w:r>
        <w:t>Lillo</w:t>
      </w:r>
      <w:proofErr w:type="spellEnd"/>
      <w:r>
        <w:t>. Hieruit blijkt het efemere karakter van deze soort die zich echter wel blijvend heeft gevestigd in de brakwaterzone van het Schelde-estuarium. De milde winters werken dit verder in de hand, terwijl watervogels bijdragen aan de verspreiding.</w:t>
      </w:r>
    </w:p>
    <w:p w:rsidR="00F845A1" w:rsidRDefault="00F845A1" w:rsidP="00F845A1">
      <w:pPr>
        <w:pStyle w:val="Kop3"/>
        <w:keepLines w:val="0"/>
        <w:tabs>
          <w:tab w:val="clear" w:pos="3686"/>
          <w:tab w:val="num" w:pos="1571"/>
        </w:tabs>
        <w:spacing w:before="240"/>
        <w:ind w:left="1571" w:hanging="720"/>
        <w:contextualSpacing w:val="0"/>
        <w:jc w:val="both"/>
      </w:pPr>
      <w:bookmarkStart w:id="30" w:name="_Ref45127719"/>
      <w:bookmarkStart w:id="31" w:name="_Toc50486530"/>
      <w:r>
        <w:lastRenderedPageBreak/>
        <w:t xml:space="preserve">Signaleren veranderingen in de </w:t>
      </w:r>
      <w:proofErr w:type="spellStart"/>
      <w:r>
        <w:t>PQ’s</w:t>
      </w:r>
      <w:proofErr w:type="spellEnd"/>
      <w:r>
        <w:t xml:space="preserve"> </w:t>
      </w:r>
      <w:proofErr w:type="spellStart"/>
      <w:r>
        <w:t>abiotische</w:t>
      </w:r>
      <w:proofErr w:type="spellEnd"/>
      <w:r>
        <w:t xml:space="preserve"> wijzigingen?</w:t>
      </w:r>
      <w:bookmarkEnd w:id="30"/>
      <w:bookmarkEnd w:id="31"/>
    </w:p>
    <w:p w:rsidR="00F845A1" w:rsidRDefault="00F845A1" w:rsidP="00F845A1">
      <w:r>
        <w:t xml:space="preserve">Ter hoogte van het gecontroleerd overstromingsgebied Polders van </w:t>
      </w:r>
      <w:proofErr w:type="spellStart"/>
      <w:r>
        <w:t>Kruibeke</w:t>
      </w:r>
      <w:proofErr w:type="spellEnd"/>
      <w:r>
        <w:t xml:space="preserve"> in de </w:t>
      </w:r>
      <w:proofErr w:type="spellStart"/>
      <w:r>
        <w:t>oligohaliene</w:t>
      </w:r>
      <w:proofErr w:type="spellEnd"/>
      <w:r>
        <w:t xml:space="preserve"> zone van het Schelde-estuarium liggen verspreid 21 plots. Op basis van de vegetatieopnames gemaakt in deze plots in 2013 en 2019, is de verandering in de bedekking van reuzenbalsemien (</w:t>
      </w:r>
      <w:proofErr w:type="spellStart"/>
      <w:r w:rsidRPr="007243F8">
        <w:rPr>
          <w:i/>
        </w:rPr>
        <w:t>Impatiens</w:t>
      </w:r>
      <w:proofErr w:type="spellEnd"/>
      <w:r w:rsidRPr="007243F8">
        <w:rPr>
          <w:i/>
        </w:rPr>
        <w:t xml:space="preserve"> </w:t>
      </w:r>
      <w:proofErr w:type="spellStart"/>
      <w:r w:rsidRPr="007243F8">
        <w:rPr>
          <w:i/>
        </w:rPr>
        <w:t>glandulifera</w:t>
      </w:r>
      <w:proofErr w:type="spellEnd"/>
      <w:r>
        <w:t>) en wilgen (</w:t>
      </w:r>
      <w:proofErr w:type="spellStart"/>
      <w:r w:rsidRPr="007243F8">
        <w:rPr>
          <w:i/>
        </w:rPr>
        <w:t>Salix</w:t>
      </w:r>
      <w:proofErr w:type="spellEnd"/>
      <w:r>
        <w:t xml:space="preserve"> </w:t>
      </w:r>
      <w:proofErr w:type="spellStart"/>
      <w:r>
        <w:t>spp</w:t>
      </w:r>
      <w:proofErr w:type="spellEnd"/>
      <w:r>
        <w:t>.) berekend.</w:t>
      </w:r>
    </w:p>
    <w:p w:rsidR="00F845A1" w:rsidRDefault="00F845A1" w:rsidP="00F845A1">
      <w:r>
        <w:t xml:space="preserve">Reuzenbalsemien is een uitgesproken </w:t>
      </w:r>
      <w:proofErr w:type="spellStart"/>
      <w:r>
        <w:t>glycofyt</w:t>
      </w:r>
      <w:proofErr w:type="spellEnd"/>
      <w:r>
        <w:t xml:space="preserve"> of zoetwatersoort die niet bestand is tegen brak of zout water. Bovendien is het een eenjarige soort die bijgevolg snel reageert op wijzigingen in de </w:t>
      </w:r>
      <w:proofErr w:type="spellStart"/>
      <w:r>
        <w:t>abiotiek</w:t>
      </w:r>
      <w:proofErr w:type="spellEnd"/>
      <w:r>
        <w:t>. Wilgen zijn toleranter voor zout maar hun vitaliteit daalt als ze langdurig worden blootgesteld aan hogere zoutgehaltes (</w:t>
      </w:r>
      <w:r w:rsidRPr="00F80811">
        <w:t>Markus-</w:t>
      </w:r>
      <w:proofErr w:type="spellStart"/>
      <w:r w:rsidRPr="00F80811">
        <w:t>Michalczyk</w:t>
      </w:r>
      <w:proofErr w:type="spellEnd"/>
      <w:r>
        <w:t xml:space="preserve"> et al. 2014). Bovendien zijn wilgen langlevend waardoor we ze indicatief beschouwen voor langdurige blootstelling aan bijvoorbeeld verhoogde zoutgehaltes.</w:t>
      </w:r>
    </w:p>
    <w:p w:rsidR="00F845A1" w:rsidRDefault="00F845A1" w:rsidP="00F845A1">
      <w:r>
        <w:t xml:space="preserve">In 2013 waren in 6 van de 21 plots wilgen doorgegroeid tot de struiklaag en/of </w:t>
      </w:r>
      <w:proofErr w:type="spellStart"/>
      <w:r>
        <w:t>boomlaag</w:t>
      </w:r>
      <w:proofErr w:type="spellEnd"/>
      <w:r>
        <w:t>. In 2019 was dit gereduceerd tot 4 van de 21 plots. Ook de gemiddelde bedekking was afgenomen tussen 2013 en 2019 (</w:t>
      </w:r>
      <w:r>
        <w:fldChar w:fldCharType="begin"/>
      </w:r>
      <w:r>
        <w:instrText xml:space="preserve"> REF _Ref45129790 \h </w:instrText>
      </w:r>
      <w:r>
        <w:fldChar w:fldCharType="separate"/>
      </w:r>
      <w:r>
        <w:t xml:space="preserve">Figuur </w:t>
      </w:r>
      <w:r>
        <w:rPr>
          <w:noProof/>
        </w:rPr>
        <w:t>5</w:t>
      </w:r>
      <w:r>
        <w:noBreakHyphen/>
      </w:r>
      <w:r>
        <w:rPr>
          <w:noProof/>
        </w:rPr>
        <w:t>2</w:t>
      </w:r>
      <w:r>
        <w:fldChar w:fldCharType="end"/>
      </w:r>
      <w:r>
        <w:t>). In 18 van de 21 plots was reuzenbalsemien aanwezig met bedekkingen die varieerden tussen 1% en 62%. In 2019 was het aantal plots waarin reuzenbalsemien voorkwam gereduceerd tot 10 met bedekkingen tussen de 1% en 30%. De gemiddelde bedekking van reuzenbalsemien was afgenomen van 15.0% naar 2.9%, een opvallend sterke afname (</w:t>
      </w:r>
      <w:r>
        <w:fldChar w:fldCharType="begin"/>
      </w:r>
      <w:r>
        <w:instrText xml:space="preserve"> REF _Ref45134828 \h </w:instrText>
      </w:r>
      <w:r>
        <w:fldChar w:fldCharType="separate"/>
      </w:r>
      <w:r>
        <w:t xml:space="preserve">Figuur </w:t>
      </w:r>
      <w:r>
        <w:rPr>
          <w:noProof/>
        </w:rPr>
        <w:t>5</w:t>
      </w:r>
      <w:r>
        <w:noBreakHyphen/>
      </w:r>
      <w:r>
        <w:rPr>
          <w:noProof/>
        </w:rPr>
        <w:t>3</w:t>
      </w:r>
      <w:r>
        <w:fldChar w:fldCharType="end"/>
      </w:r>
      <w:r>
        <w:t>).</w:t>
      </w:r>
    </w:p>
    <w:p w:rsidR="00F845A1" w:rsidRDefault="00F845A1" w:rsidP="00F845A1">
      <w:r>
        <w:t>Deze wijzigingen in de bedekkingen van de indicatieve soorten kunnen een korte tot middellange verandering in de saliniteit signaleren.</w:t>
      </w:r>
    </w:p>
    <w:p w:rsidR="00F845A1" w:rsidRDefault="00F845A1" w:rsidP="00F845A1">
      <w:pPr>
        <w:keepNext/>
        <w:jc w:val="center"/>
      </w:pPr>
      <w:r>
        <w:rPr>
          <w:noProof/>
          <w:lang w:eastAsia="nl-BE"/>
        </w:rPr>
        <w:drawing>
          <wp:inline distT="0" distB="0" distL="0" distR="0" wp14:anchorId="6C5502D0" wp14:editId="1459E88A">
            <wp:extent cx="3665220" cy="2929890"/>
            <wp:effectExtent l="0" t="0" r="0" b="3810"/>
            <wp:docPr id="1027" name="Afbeelding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SalixKB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5220" cy="2929890"/>
                    </a:xfrm>
                    <a:prstGeom prst="rect">
                      <a:avLst/>
                    </a:prstGeom>
                  </pic:spPr>
                </pic:pic>
              </a:graphicData>
            </a:graphic>
          </wp:inline>
        </w:drawing>
      </w:r>
    </w:p>
    <w:p w:rsidR="00F845A1" w:rsidRDefault="00F845A1" w:rsidP="00F845A1">
      <w:pPr>
        <w:pStyle w:val="Bijschrift"/>
      </w:pPr>
      <w:bookmarkStart w:id="32" w:name="_Ref45129790"/>
      <w:bookmarkStart w:id="33" w:name="_Toc50486646"/>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2</w:t>
      </w:r>
      <w:r>
        <w:rPr>
          <w:noProof/>
        </w:rPr>
        <w:fldChar w:fldCharType="end"/>
      </w:r>
      <w:bookmarkEnd w:id="32"/>
      <w:r>
        <w:t xml:space="preserve"> Gemiddelde bedekking van wilgen (</w:t>
      </w:r>
      <w:proofErr w:type="spellStart"/>
      <w:r w:rsidRPr="00AB3D7E">
        <w:rPr>
          <w:i/>
        </w:rPr>
        <w:t>Salix</w:t>
      </w:r>
      <w:proofErr w:type="spellEnd"/>
      <w:r>
        <w:t xml:space="preserve"> </w:t>
      </w:r>
      <w:proofErr w:type="spellStart"/>
      <w:r>
        <w:t>spp</w:t>
      </w:r>
      <w:proofErr w:type="spellEnd"/>
      <w:r>
        <w:t xml:space="preserve">.) in de struik- en </w:t>
      </w:r>
      <w:proofErr w:type="spellStart"/>
      <w:r>
        <w:t>boomlaag</w:t>
      </w:r>
      <w:proofErr w:type="spellEnd"/>
      <w:r>
        <w:t xml:space="preserve"> in de plots ter hoogte van de Polders van </w:t>
      </w:r>
      <w:proofErr w:type="spellStart"/>
      <w:r>
        <w:t>Kruibeke</w:t>
      </w:r>
      <w:proofErr w:type="spellEnd"/>
      <w:r>
        <w:t xml:space="preserve"> in 2013 en 2019 (BL: </w:t>
      </w:r>
      <w:proofErr w:type="spellStart"/>
      <w:r>
        <w:t>boomlaag</w:t>
      </w:r>
      <w:proofErr w:type="spellEnd"/>
      <w:r>
        <w:t>, SL: struiklaag, SE: standaardfout).</w:t>
      </w:r>
      <w:bookmarkEnd w:id="33"/>
    </w:p>
    <w:p w:rsidR="00F845A1" w:rsidRDefault="00F845A1" w:rsidP="00F845A1"/>
    <w:p w:rsidR="00F845A1" w:rsidRDefault="00F845A1" w:rsidP="00F845A1">
      <w:pPr>
        <w:keepNext/>
        <w:jc w:val="center"/>
      </w:pPr>
      <w:r>
        <w:rPr>
          <w:noProof/>
          <w:lang w:eastAsia="nl-BE"/>
        </w:rPr>
        <w:lastRenderedPageBreak/>
        <w:drawing>
          <wp:inline distT="0" distB="0" distL="0" distR="0" wp14:anchorId="583ABD17" wp14:editId="6074F5B8">
            <wp:extent cx="3663315" cy="2933700"/>
            <wp:effectExtent l="0" t="0" r="0" b="0"/>
            <wp:docPr id="1028" name="Afbeelding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ImpatiensKB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3315" cy="2933700"/>
                    </a:xfrm>
                    <a:prstGeom prst="rect">
                      <a:avLst/>
                    </a:prstGeom>
                  </pic:spPr>
                </pic:pic>
              </a:graphicData>
            </a:graphic>
          </wp:inline>
        </w:drawing>
      </w:r>
    </w:p>
    <w:p w:rsidR="00F845A1" w:rsidRDefault="00F845A1" w:rsidP="00F845A1">
      <w:pPr>
        <w:pStyle w:val="Bijschrift"/>
      </w:pPr>
      <w:bookmarkStart w:id="34" w:name="_Ref45134828"/>
      <w:bookmarkStart w:id="35" w:name="_Toc50486647"/>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3</w:t>
      </w:r>
      <w:r>
        <w:rPr>
          <w:noProof/>
        </w:rPr>
        <w:fldChar w:fldCharType="end"/>
      </w:r>
      <w:bookmarkEnd w:id="34"/>
      <w:r>
        <w:t xml:space="preserve"> </w:t>
      </w:r>
      <w:r w:rsidRPr="001B48AE">
        <w:t>Gemiddelde bedekking van reuzenbalsemien (</w:t>
      </w:r>
      <w:proofErr w:type="spellStart"/>
      <w:r w:rsidRPr="00B945CD">
        <w:rPr>
          <w:i/>
        </w:rPr>
        <w:t>Impatiens</w:t>
      </w:r>
      <w:proofErr w:type="spellEnd"/>
      <w:r w:rsidRPr="00B945CD">
        <w:rPr>
          <w:i/>
        </w:rPr>
        <w:t xml:space="preserve"> </w:t>
      </w:r>
      <w:proofErr w:type="spellStart"/>
      <w:r w:rsidRPr="00B945CD">
        <w:rPr>
          <w:i/>
        </w:rPr>
        <w:t>glandulifera</w:t>
      </w:r>
      <w:proofErr w:type="spellEnd"/>
      <w:r w:rsidRPr="001B48AE">
        <w:t xml:space="preserve">) in de plots ter hoogte van de Polders van </w:t>
      </w:r>
      <w:proofErr w:type="spellStart"/>
      <w:r w:rsidRPr="001B48AE">
        <w:t>Kruibeke</w:t>
      </w:r>
      <w:proofErr w:type="spellEnd"/>
      <w:r w:rsidRPr="001B48AE">
        <w:t xml:space="preserve"> in 2013 en 2019 (SE: standaardfout).</w:t>
      </w:r>
      <w:bookmarkEnd w:id="35"/>
    </w:p>
    <w:p w:rsidR="00F845A1" w:rsidRDefault="00F845A1" w:rsidP="00F845A1"/>
    <w:p w:rsidR="00F845A1" w:rsidRPr="00FA794D" w:rsidRDefault="00F845A1" w:rsidP="00F845A1">
      <w:pPr>
        <w:pStyle w:val="Kop3"/>
        <w:keepLines w:val="0"/>
        <w:tabs>
          <w:tab w:val="clear" w:pos="3686"/>
          <w:tab w:val="num" w:pos="1571"/>
        </w:tabs>
        <w:spacing w:before="240"/>
        <w:ind w:left="1571" w:hanging="720"/>
        <w:contextualSpacing w:val="0"/>
        <w:jc w:val="both"/>
      </w:pPr>
      <w:bookmarkStart w:id="36" w:name="_Toc50486531"/>
      <w:r>
        <w:t>Nemen climaxvegetaties toe op brakwaterschorren?</w:t>
      </w:r>
      <w:bookmarkEnd w:id="36"/>
    </w:p>
    <w:p w:rsidR="00F845A1" w:rsidRDefault="00F845A1" w:rsidP="00F845A1">
      <w:r>
        <w:t xml:space="preserve">Vele van de brak- en zoetwaterschorren zijn oude, geconsolideerde schorren waar zich een climaxvegetatie of het eindstadium in de successie heeft ontwikkeld. Op brakwaterschorren vormen rietlanden de climaxvegetatie, op zoetwaterschorren zijn dit wilgenvloedstruwelen en -bossen. </w:t>
      </w:r>
    </w:p>
    <w:p w:rsidR="00F845A1" w:rsidRDefault="00F845A1" w:rsidP="00F845A1">
      <w:r>
        <w:t xml:space="preserve">In een natuurlijk </w:t>
      </w:r>
      <w:proofErr w:type="spellStart"/>
      <w:r>
        <w:t>estuarien</w:t>
      </w:r>
      <w:proofErr w:type="spellEnd"/>
      <w:r>
        <w:t xml:space="preserve"> systeem eroderen oude schorren, waarna een fase van opslibbing en kolonisatie door </w:t>
      </w:r>
      <w:proofErr w:type="spellStart"/>
      <w:r>
        <w:t>pioniersoorten</w:t>
      </w:r>
      <w:proofErr w:type="spellEnd"/>
      <w:r>
        <w:t xml:space="preserve"> volgt en de successie naar een climaxvegetatie volgt (van de Koppel et al. 2005). De hoge </w:t>
      </w:r>
      <w:proofErr w:type="spellStart"/>
      <w:r>
        <w:t>hydrodynamiek</w:t>
      </w:r>
      <w:proofErr w:type="spellEnd"/>
      <w:r>
        <w:t xml:space="preserve"> in het Schelde-estuarium verstoort deze schorcyclus. Erosie treedt op, al proberen beheerders dit te remmen door oeververdedigingen aan te brengen, maar de fase van opslibbing ontbreekt wegens de té hoge dynamiek. </w:t>
      </w:r>
    </w:p>
    <w:p w:rsidR="00F845A1" w:rsidRDefault="00F845A1" w:rsidP="00F845A1">
      <w:r>
        <w:t xml:space="preserve">Het optreden van de schorcyclus kan getoetst worden aan de hand van de permanente kwadraten waarbij als nulhypothese geldt dat de gemiddelde bedekking van de climaxsoorten gelijk blijft. Hierbij gaan we uit van de veronderstelling dat in een x-aantal plots de climaxsoorten toenemen maar deze toename teniet wordt gedaan doordat in een x-aantal andere plots de climaxsoorten afnemen omdat erosie, opslibbing en kolonisatie door </w:t>
      </w:r>
      <w:proofErr w:type="spellStart"/>
      <w:r>
        <w:t>pioniersoorten</w:t>
      </w:r>
      <w:proofErr w:type="spellEnd"/>
      <w:r>
        <w:t xml:space="preserve"> optreedt.</w:t>
      </w:r>
    </w:p>
    <w:p w:rsidR="00F845A1" w:rsidRDefault="00F845A1" w:rsidP="00F845A1">
      <w:r w:rsidRPr="00F77517">
        <w:t xml:space="preserve">Het totaal aantal permanente kwadraten op de </w:t>
      </w:r>
      <w:r>
        <w:t>brakw</w:t>
      </w:r>
      <w:r w:rsidRPr="00F77517">
        <w:t xml:space="preserve">aterschorren bedraagt </w:t>
      </w:r>
      <w:r>
        <w:t>98</w:t>
      </w:r>
      <w:r w:rsidRPr="00F77517">
        <w:t>. Deze plots zijn niet willekeurig verdeeld over de verschillende vegetatietypes. Om een randomfactor in de data te bre</w:t>
      </w:r>
      <w:r>
        <w:t>n</w:t>
      </w:r>
      <w:r w:rsidRPr="00F77517">
        <w:t xml:space="preserve">gen zijn random </w:t>
      </w:r>
      <w:r>
        <w:t xml:space="preserve">80 plots of permanente kwadraten </w:t>
      </w:r>
      <w:r w:rsidRPr="00F77517">
        <w:t>geselecteerd.</w:t>
      </w:r>
      <w:r>
        <w:t xml:space="preserve"> De gemiddelde bedekking van riet (</w:t>
      </w:r>
      <w:proofErr w:type="spellStart"/>
      <w:r w:rsidRPr="00755F62">
        <w:rPr>
          <w:i/>
        </w:rPr>
        <w:t>Phragmites</w:t>
      </w:r>
      <w:proofErr w:type="spellEnd"/>
      <w:r w:rsidRPr="00755F62">
        <w:rPr>
          <w:i/>
        </w:rPr>
        <w:t xml:space="preserve"> australis</w:t>
      </w:r>
      <w:r>
        <w:t>), de climaxsoort op brakwaterschorren, is berekend op basis van de vegetatieopnames van deze 80 plots van 2013 en 2019 (</w:t>
      </w:r>
      <w:r>
        <w:fldChar w:fldCharType="begin"/>
      </w:r>
      <w:r>
        <w:instrText xml:space="preserve"> REF _Ref45635192 \h </w:instrText>
      </w:r>
      <w:r>
        <w:fldChar w:fldCharType="separate"/>
      </w:r>
      <w:r>
        <w:t xml:space="preserve">Figuur </w:t>
      </w:r>
      <w:r>
        <w:rPr>
          <w:noProof/>
        </w:rPr>
        <w:t>5</w:t>
      </w:r>
      <w:r>
        <w:noBreakHyphen/>
      </w:r>
      <w:r>
        <w:rPr>
          <w:noProof/>
        </w:rPr>
        <w:t>4</w:t>
      </w:r>
      <w:r>
        <w:fldChar w:fldCharType="end"/>
      </w:r>
      <w:r>
        <w:t xml:space="preserve">). De gemiddelde bedekking van riet blijkt tussen 2013 en 2019 toe te nemen van 43.0% naar 51.3% waaruit we kunnen afleiden dat de brakwaterschorren evolueren richting de climaxvegetatie.  </w:t>
      </w:r>
    </w:p>
    <w:p w:rsidR="00F845A1" w:rsidRDefault="00F845A1" w:rsidP="00F845A1">
      <w:pPr>
        <w:keepNext/>
        <w:jc w:val="center"/>
      </w:pPr>
      <w:r>
        <w:rPr>
          <w:noProof/>
          <w:lang w:eastAsia="nl-BE"/>
        </w:rPr>
        <w:lastRenderedPageBreak/>
        <w:drawing>
          <wp:inline distT="0" distB="0" distL="0" distR="0" wp14:anchorId="02036FEF" wp14:editId="58E9E05D">
            <wp:extent cx="3663315" cy="2933700"/>
            <wp:effectExtent l="0" t="0" r="0" b="0"/>
            <wp:docPr id="1029" name="Afbeelding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Phragmit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3315" cy="2933700"/>
                    </a:xfrm>
                    <a:prstGeom prst="rect">
                      <a:avLst/>
                    </a:prstGeom>
                  </pic:spPr>
                </pic:pic>
              </a:graphicData>
            </a:graphic>
          </wp:inline>
        </w:drawing>
      </w:r>
    </w:p>
    <w:p w:rsidR="00F845A1" w:rsidRDefault="00F845A1" w:rsidP="00F845A1">
      <w:pPr>
        <w:pStyle w:val="Bijschrift"/>
      </w:pPr>
      <w:bookmarkStart w:id="37" w:name="_Ref45635192"/>
      <w:bookmarkStart w:id="38" w:name="_Toc50486648"/>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4</w:t>
      </w:r>
      <w:r>
        <w:rPr>
          <w:noProof/>
        </w:rPr>
        <w:fldChar w:fldCharType="end"/>
      </w:r>
      <w:bookmarkEnd w:id="37"/>
      <w:r>
        <w:t xml:space="preserve"> De gemiddelde bedekking van riet (</w:t>
      </w:r>
      <w:proofErr w:type="spellStart"/>
      <w:r w:rsidRPr="00706F22">
        <w:rPr>
          <w:i/>
        </w:rPr>
        <w:t>Phragmites</w:t>
      </w:r>
      <w:proofErr w:type="spellEnd"/>
      <w:r w:rsidRPr="00706F22">
        <w:rPr>
          <w:i/>
        </w:rPr>
        <w:t xml:space="preserve"> australis</w:t>
      </w:r>
      <w:r>
        <w:t>) in de plots op de brakwaterschorren (SE: standaardfout).</w:t>
      </w:r>
      <w:bookmarkEnd w:id="38"/>
    </w:p>
    <w:p w:rsidR="00F845A1" w:rsidRDefault="00F845A1" w:rsidP="00F845A1"/>
    <w:p w:rsidR="00F845A1" w:rsidRPr="00C3112D"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rPr>
          <w:b/>
          <w:sz w:val="24"/>
        </w:rPr>
      </w:pPr>
      <w:r>
        <w:rPr>
          <w:b/>
          <w:sz w:val="24"/>
        </w:rPr>
        <w:t xml:space="preserve">Kadertekst: </w:t>
      </w:r>
      <w:r w:rsidRPr="00C3112D">
        <w:rPr>
          <w:b/>
          <w:sz w:val="24"/>
        </w:rPr>
        <w:t>Vervangt cyclische successie de schorcyclus?</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De </w:t>
      </w:r>
      <w:proofErr w:type="spellStart"/>
      <w:r>
        <w:t>schorcycus</w:t>
      </w:r>
      <w:proofErr w:type="spellEnd"/>
      <w:r>
        <w:t xml:space="preserve"> wordt niet of nauwelijks doorlopen langs de </w:t>
      </w:r>
      <w:proofErr w:type="spellStart"/>
      <w:r>
        <w:t>Zeeschelde</w:t>
      </w:r>
      <w:proofErr w:type="spellEnd"/>
      <w:r>
        <w:t xml:space="preserve">. Eigen aan natuurlijke </w:t>
      </w:r>
      <w:proofErr w:type="spellStart"/>
      <w:r>
        <w:t>estuariene</w:t>
      </w:r>
      <w:proofErr w:type="spellEnd"/>
      <w:r>
        <w:t xml:space="preserve"> systemen wordt een periode van schoropbouw met successie naar de climaxvegetatie, gevolgd door een periode van schorafbraak door erosie, om vervolgens opnieuw over te gaan tot schoropbouw. Deze schorcyclus treedt nauwelijks op binnen het Schelde-estuarium wat in verband kan gebracht worden met de hoge </w:t>
      </w:r>
      <w:proofErr w:type="spellStart"/>
      <w:r>
        <w:t>hydrodynamiek</w:t>
      </w:r>
      <w:proofErr w:type="spellEnd"/>
      <w:r>
        <w:t xml:space="preserve"> en ruimtegebrek. De schorvegetaties evolueren algemeen naar climaxvegetaties. Op brakwaterschorren evolueert de vegetatie naar rietland, de climaxvegetaties op dit type schorren. Op zoetwaterschorren vormen wilgenvloedstruwelen en -bossen de climaxvegetatie.</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Erosie van aan de schorrand treedt wel nog op maar de schoropbouw die daarop moet volgen ontbreekt ten gevolge de te hoge </w:t>
      </w:r>
      <w:proofErr w:type="spellStart"/>
      <w:r>
        <w:t>hydrodynamiek</w:t>
      </w:r>
      <w:proofErr w:type="spellEnd"/>
      <w:r>
        <w:t xml:space="preserve">. Lage schorren met vegetaties eigen aan vroege successiestadia ontwikkelen zich hoofdzakelijk in de nieuwe </w:t>
      </w:r>
      <w:proofErr w:type="spellStart"/>
      <w:r>
        <w:t>estuariene</w:t>
      </w:r>
      <w:proofErr w:type="spellEnd"/>
      <w:r>
        <w:t xml:space="preserve"> gebieden.</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Opvallend is evenwel de degeneratie die optreedt in de wilgenvloedstruwelen op de zoetwaterschorren. Op verschillende </w:t>
      </w:r>
      <w:proofErr w:type="spellStart"/>
      <w:r>
        <w:t>lokaties</w:t>
      </w:r>
      <w:proofErr w:type="spellEnd"/>
      <w:r>
        <w:t xml:space="preserve"> stelden we vast dat de wilgen in de boom- en/of struiklaag afsterven. Als reactie hierop wist zich een soortenrijke kruidige vegetatie te ontwikkelen met tal van </w:t>
      </w:r>
      <w:proofErr w:type="spellStart"/>
      <w:r>
        <w:t>helofyten</w:t>
      </w:r>
      <w:proofErr w:type="spellEnd"/>
      <w:r>
        <w:t xml:space="preserve"> en </w:t>
      </w:r>
      <w:proofErr w:type="spellStart"/>
      <w:r>
        <w:t>therofyten</w:t>
      </w:r>
      <w:proofErr w:type="spellEnd"/>
      <w:r>
        <w:t xml:space="preserve"> en vooral met grondwaterafhankelijke plantensoorten. </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Om dit te illustreren, selecteerden we een zestal plots: </w:t>
      </w:r>
      <w:r w:rsidRPr="00125FD6">
        <w:t>ZSCPQ123</w:t>
      </w:r>
      <w:r>
        <w:t xml:space="preserve">, ZSCPQ124 en ZSCPQ126 op de Notelaar in </w:t>
      </w:r>
      <w:proofErr w:type="spellStart"/>
      <w:r>
        <w:t>Hingene</w:t>
      </w:r>
      <w:proofErr w:type="spellEnd"/>
      <w:r>
        <w:t xml:space="preserve">, ZSCPQ120 en ZSCPQ134 op het </w:t>
      </w:r>
      <w:r w:rsidRPr="00125FD6">
        <w:t>Schor van Mariekerke</w:t>
      </w:r>
      <w:r>
        <w:t xml:space="preserve"> in St.-Amands-Mariekerke en </w:t>
      </w:r>
      <w:r w:rsidRPr="00125FD6">
        <w:t>ZSCPQ221</w:t>
      </w:r>
      <w:r>
        <w:t xml:space="preserve"> op het </w:t>
      </w:r>
      <w:r w:rsidRPr="00125FD6">
        <w:t>Kijkverdriet</w:t>
      </w:r>
      <w:r>
        <w:t xml:space="preserve"> in Steendorp. Per plot is de bedekking van de soorten in de boom- en struiklaag gesommeerd en vervolgens per jaar uitgemiddeld. Deze gemiddelde bedekking daalde van 52.0% in 2013 naar 31.8% in 2019 (</w:t>
      </w:r>
      <w:r>
        <w:fldChar w:fldCharType="begin"/>
      </w:r>
      <w:r>
        <w:instrText xml:space="preserve"> REF _Ref45719971 \h </w:instrText>
      </w:r>
      <w:r>
        <w:fldChar w:fldCharType="separate"/>
      </w:r>
      <w:r>
        <w:t xml:space="preserve">Figuur </w:t>
      </w:r>
      <w:r>
        <w:rPr>
          <w:noProof/>
        </w:rPr>
        <w:t>5</w:t>
      </w:r>
      <w:r>
        <w:noBreakHyphen/>
      </w:r>
      <w:r>
        <w:rPr>
          <w:noProof/>
        </w:rPr>
        <w:t>5</w:t>
      </w:r>
      <w:r>
        <w:fldChar w:fldCharType="end"/>
      </w:r>
      <w:r>
        <w:t xml:space="preserve">). Deze lagere bedekking van de struiklaag luidde een toename van de </w:t>
      </w:r>
      <w:proofErr w:type="spellStart"/>
      <w:r>
        <w:t>kruidlaag</w:t>
      </w:r>
      <w:proofErr w:type="spellEnd"/>
      <w:r>
        <w:t xml:space="preserve"> in ten gevolgde de betere lichtcondities. De gemiddelde bedekking van de </w:t>
      </w:r>
      <w:proofErr w:type="spellStart"/>
      <w:r>
        <w:t>kruidlaag</w:t>
      </w:r>
      <w:proofErr w:type="spellEnd"/>
      <w:r>
        <w:t xml:space="preserve"> steeg van 50.0% naar 70.0% (</w:t>
      </w:r>
      <w:r>
        <w:fldChar w:fldCharType="begin"/>
      </w:r>
      <w:r>
        <w:instrText xml:space="preserve"> REF _Ref45719971 \h </w:instrText>
      </w:r>
      <w:r>
        <w:fldChar w:fldCharType="separate"/>
      </w:r>
      <w:r>
        <w:t xml:space="preserve">Figuur </w:t>
      </w:r>
      <w:r>
        <w:rPr>
          <w:noProof/>
        </w:rPr>
        <w:t>5</w:t>
      </w:r>
      <w:r>
        <w:noBreakHyphen/>
      </w:r>
      <w:r>
        <w:rPr>
          <w:noProof/>
        </w:rPr>
        <w:t>5</w:t>
      </w:r>
      <w:r>
        <w:fldChar w:fldCharType="end"/>
      </w:r>
      <w:r>
        <w:t xml:space="preserve">). Ook de toename van het aantal soorten was frappant. In 2013 zijn in de </w:t>
      </w:r>
      <w:proofErr w:type="spellStart"/>
      <w:r>
        <w:t>kruidlaag</w:t>
      </w:r>
      <w:proofErr w:type="spellEnd"/>
      <w:r>
        <w:t xml:space="preserve"> gemiddeld 18.2 soorten aangetroffen, in 2019 was dit aantal toegenomen tot 22.0 (</w:t>
      </w:r>
      <w:r>
        <w:fldChar w:fldCharType="begin"/>
      </w:r>
      <w:r>
        <w:instrText xml:space="preserve"> REF _Ref45720580 \h </w:instrText>
      </w:r>
      <w:r>
        <w:fldChar w:fldCharType="separate"/>
      </w:r>
      <w:r>
        <w:t xml:space="preserve">Figuur </w:t>
      </w:r>
      <w:r>
        <w:rPr>
          <w:noProof/>
        </w:rPr>
        <w:t>5</w:t>
      </w:r>
      <w:r>
        <w:noBreakHyphen/>
      </w:r>
      <w:r>
        <w:rPr>
          <w:noProof/>
        </w:rPr>
        <w:t>6</w:t>
      </w:r>
      <w:r>
        <w:fldChar w:fldCharType="end"/>
      </w:r>
      <w:r>
        <w:t xml:space="preserve">). </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 xml:space="preserve">De toename van de bedekking van de </w:t>
      </w:r>
      <w:proofErr w:type="spellStart"/>
      <w:r>
        <w:t>kruidlaag</w:t>
      </w:r>
      <w:proofErr w:type="spellEnd"/>
      <w:r>
        <w:t xml:space="preserve"> was niet te wijten aan de toename van soorten kenmerkend voor drogere bodems zoals reuzenbalsemien (</w:t>
      </w:r>
      <w:proofErr w:type="spellStart"/>
      <w:r w:rsidRPr="00C87D26">
        <w:rPr>
          <w:i/>
        </w:rPr>
        <w:t>Impatiens</w:t>
      </w:r>
      <w:proofErr w:type="spellEnd"/>
      <w:r w:rsidRPr="00C87D26">
        <w:rPr>
          <w:i/>
        </w:rPr>
        <w:t xml:space="preserve"> </w:t>
      </w:r>
      <w:proofErr w:type="spellStart"/>
      <w:r w:rsidRPr="00C87D26">
        <w:rPr>
          <w:i/>
        </w:rPr>
        <w:t>glandulifera</w:t>
      </w:r>
      <w:proofErr w:type="spellEnd"/>
      <w:r>
        <w:t>) en grote brandnetel (</w:t>
      </w:r>
      <w:r w:rsidRPr="00C87D26">
        <w:rPr>
          <w:i/>
        </w:rPr>
        <w:t xml:space="preserve">Urtica </w:t>
      </w:r>
      <w:proofErr w:type="spellStart"/>
      <w:r w:rsidRPr="00C87D26">
        <w:rPr>
          <w:i/>
        </w:rPr>
        <w:t>dioica</w:t>
      </w:r>
      <w:proofErr w:type="spellEnd"/>
      <w:r>
        <w:t xml:space="preserve">). Soorten die </w:t>
      </w:r>
      <w:proofErr w:type="spellStart"/>
      <w:r>
        <w:t>Londo</w:t>
      </w:r>
      <w:proofErr w:type="spellEnd"/>
      <w:r>
        <w:t xml:space="preserve"> (1988) catalogeert als </w:t>
      </w:r>
      <w:proofErr w:type="spellStart"/>
      <w:r>
        <w:t>afreatofyten</w:t>
      </w:r>
      <w:proofErr w:type="spellEnd"/>
      <w:r>
        <w:t xml:space="preserve"> of grondwateronafhankelijke soorten. Hun bedekking wijzigde zo goed als niet tussen 2013 en 2019 (</w:t>
      </w:r>
      <w:r>
        <w:fldChar w:fldCharType="begin"/>
      </w:r>
      <w:r>
        <w:instrText xml:space="preserve"> REF _Ref45722786 \h </w:instrText>
      </w:r>
      <w:r>
        <w:fldChar w:fldCharType="separate"/>
      </w:r>
      <w:r>
        <w:t xml:space="preserve">Figuur </w:t>
      </w:r>
      <w:r>
        <w:rPr>
          <w:noProof/>
        </w:rPr>
        <w:t>5</w:t>
      </w:r>
      <w:r>
        <w:noBreakHyphen/>
      </w:r>
      <w:r>
        <w:rPr>
          <w:noProof/>
        </w:rPr>
        <w:t>7</w:t>
      </w:r>
      <w:r>
        <w:fldChar w:fldCharType="end"/>
      </w:r>
      <w:r>
        <w:t>). Opvallend is evenwel de toename van grondwaterafhankelijke soorten zoals wolfspoot (</w:t>
      </w:r>
      <w:proofErr w:type="spellStart"/>
      <w:r w:rsidRPr="00532D27">
        <w:rPr>
          <w:i/>
        </w:rPr>
        <w:t>Lycopus</w:t>
      </w:r>
      <w:proofErr w:type="spellEnd"/>
      <w:r w:rsidRPr="00532D27">
        <w:rPr>
          <w:i/>
        </w:rPr>
        <w:t xml:space="preserve"> </w:t>
      </w:r>
      <w:proofErr w:type="spellStart"/>
      <w:r w:rsidRPr="00532D27">
        <w:rPr>
          <w:i/>
        </w:rPr>
        <w:t>europaeus</w:t>
      </w:r>
      <w:proofErr w:type="spellEnd"/>
      <w:r>
        <w:t>) en watermunt (</w:t>
      </w:r>
      <w:proofErr w:type="spellStart"/>
      <w:r w:rsidRPr="00532D27">
        <w:rPr>
          <w:i/>
        </w:rPr>
        <w:t>Mentha</w:t>
      </w:r>
      <w:proofErr w:type="spellEnd"/>
      <w:r w:rsidRPr="00532D27">
        <w:rPr>
          <w:i/>
        </w:rPr>
        <w:t xml:space="preserve"> </w:t>
      </w:r>
      <w:proofErr w:type="spellStart"/>
      <w:r w:rsidRPr="00532D27">
        <w:rPr>
          <w:i/>
        </w:rPr>
        <w:t>aquatica</w:t>
      </w:r>
      <w:proofErr w:type="spellEnd"/>
      <w:r>
        <w:t xml:space="preserve">), beide obligate </w:t>
      </w:r>
      <w:proofErr w:type="spellStart"/>
      <w:r>
        <w:t>freatofyten</w:t>
      </w:r>
      <w:proofErr w:type="spellEnd"/>
      <w:r>
        <w:t xml:space="preserve"> </w:t>
      </w:r>
      <w:proofErr w:type="spellStart"/>
      <w:r>
        <w:t>sensu</w:t>
      </w:r>
      <w:proofErr w:type="spellEnd"/>
      <w:r>
        <w:t xml:space="preserve"> </w:t>
      </w:r>
      <w:proofErr w:type="spellStart"/>
      <w:r>
        <w:t>Londo</w:t>
      </w:r>
      <w:proofErr w:type="spellEnd"/>
      <w:r>
        <w:t xml:space="preserve"> (1988). De gemiddelde bedekking van wolfspoot steeg van 2.2% naar 10.8% tussen 2013 en 2019. Watermunt kende een vergelijkbare toename, van 1.3% naar 9.2% (</w:t>
      </w:r>
      <w:r>
        <w:fldChar w:fldCharType="begin"/>
      </w:r>
      <w:r>
        <w:instrText xml:space="preserve"> REF _Ref45727038 \h </w:instrText>
      </w:r>
      <w:r>
        <w:fldChar w:fldCharType="separate"/>
      </w:r>
      <w:r>
        <w:t xml:space="preserve">Figuur </w:t>
      </w:r>
      <w:r>
        <w:rPr>
          <w:noProof/>
        </w:rPr>
        <w:t>5</w:t>
      </w:r>
      <w:r>
        <w:noBreakHyphen/>
      </w:r>
      <w:r>
        <w:rPr>
          <w:noProof/>
        </w:rPr>
        <w:t>8</w:t>
      </w:r>
      <w:r>
        <w:fldChar w:fldCharType="end"/>
      </w:r>
      <w:r>
        <w:t xml:space="preserve">). </w:t>
      </w:r>
    </w:p>
    <w:p w:rsidR="00F845A1" w:rsidRDefault="00F845A1" w:rsidP="00F845A1">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Verwacht wordt dat de wilgen zich op korte of middellange termijn zullen herstellen en er opnieuw kroonsluiting zal optreden wat zal zorgen voor een lagere bedekking van de </w:t>
      </w:r>
      <w:proofErr w:type="spellStart"/>
      <w:r>
        <w:t>kruidlaag</w:t>
      </w:r>
      <w:proofErr w:type="spellEnd"/>
      <w:r>
        <w:t xml:space="preserve">. Het regenereren en degenereren van de wilgen kan beschouwd worden als cyclische successie, waarvan de oorzaak alsnog onbekend is. Anderzijds biedt het nieuwe kansen aan plantensoorten van vroege successiestadia om zich te ontwikkelen, en fungeert het als surrogaat voor de schorcyclus. Dit proces is tot nu toe enkel vastgesteld op grotere schorren, zoals de Notelaar en het Schor van Mariekerke en dit in plots op ruime afstand van de schorrand die voldoende nat zijn. Dit laatste is een cruciale voorwaarde. Het omgekeerde is namelijk ook vastgesteld op het Groot Schoor van </w:t>
      </w:r>
      <w:proofErr w:type="spellStart"/>
      <w:r>
        <w:t>Grembergen</w:t>
      </w:r>
      <w:proofErr w:type="spellEnd"/>
      <w:r>
        <w:t xml:space="preserve"> waar degeneratie van de wilgen een massale groei van reuzenbalsemien en grote brandnetel inluidde.</w:t>
      </w:r>
    </w:p>
    <w:p w:rsidR="00F845A1" w:rsidRDefault="00F845A1" w:rsidP="00F845A1">
      <w:pPr>
        <w:keepNext/>
        <w:pBdr>
          <w:top w:val="single" w:sz="4" w:space="1" w:color="auto"/>
          <w:left w:val="single" w:sz="4" w:space="4" w:color="auto"/>
          <w:bottom w:val="single" w:sz="4" w:space="1" w:color="auto"/>
          <w:right w:val="single" w:sz="4" w:space="4" w:color="auto"/>
        </w:pBdr>
        <w:shd w:val="clear" w:color="auto" w:fill="D9D9D9" w:themeFill="background1" w:themeFillShade="D9"/>
      </w:pPr>
      <w:r>
        <w:rPr>
          <w:noProof/>
          <w:lang w:eastAsia="nl-BE"/>
        </w:rPr>
        <w:drawing>
          <wp:inline distT="0" distB="0" distL="0" distR="0" wp14:anchorId="1F514700" wp14:editId="0C1D951C">
            <wp:extent cx="2520000" cy="2019150"/>
            <wp:effectExtent l="0" t="0" r="0" b="635"/>
            <wp:docPr id="1030" name="Afbeelding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Salix_6P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019150"/>
                    </a:xfrm>
                    <a:prstGeom prst="rect">
                      <a:avLst/>
                    </a:prstGeom>
                  </pic:spPr>
                </pic:pic>
              </a:graphicData>
            </a:graphic>
          </wp:inline>
        </w:drawing>
      </w:r>
      <w:r>
        <w:rPr>
          <w:noProof/>
          <w:lang w:eastAsia="nl-BE"/>
        </w:rPr>
        <w:drawing>
          <wp:inline distT="0" distB="0" distL="0" distR="0" wp14:anchorId="65EDF8EF" wp14:editId="7573D7A4">
            <wp:extent cx="2520000" cy="2019150"/>
            <wp:effectExtent l="0" t="0" r="0" b="635"/>
            <wp:docPr id="1031" name="Afbeelding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Kruidlaag_6PQ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2019150"/>
                    </a:xfrm>
                    <a:prstGeom prst="rect">
                      <a:avLst/>
                    </a:prstGeom>
                  </pic:spPr>
                </pic:pic>
              </a:graphicData>
            </a:graphic>
          </wp:inline>
        </w:drawing>
      </w:r>
    </w:p>
    <w:p w:rsidR="00F845A1" w:rsidRDefault="00F845A1" w:rsidP="00F845A1">
      <w:pPr>
        <w:pStyle w:val="Bijschrift"/>
        <w:pBdr>
          <w:top w:val="single" w:sz="4" w:space="1" w:color="auto"/>
          <w:left w:val="single" w:sz="4" w:space="4" w:color="auto"/>
          <w:bottom w:val="single" w:sz="4" w:space="1" w:color="auto"/>
          <w:right w:val="single" w:sz="4" w:space="4" w:color="auto"/>
        </w:pBdr>
        <w:shd w:val="clear" w:color="auto" w:fill="D9D9D9" w:themeFill="background1" w:themeFillShade="D9"/>
      </w:pPr>
      <w:bookmarkStart w:id="39" w:name="_Ref45719971"/>
      <w:bookmarkStart w:id="40" w:name="_Toc50486649"/>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5</w:t>
      </w:r>
      <w:r>
        <w:rPr>
          <w:noProof/>
        </w:rPr>
        <w:fldChar w:fldCharType="end"/>
      </w:r>
      <w:bookmarkEnd w:id="39"/>
      <w:r>
        <w:t xml:space="preserve"> De gemiddelde bedekking van de boom- en struiklaag (links) en </w:t>
      </w:r>
      <w:proofErr w:type="spellStart"/>
      <w:r>
        <w:t>kruidlaag</w:t>
      </w:r>
      <w:proofErr w:type="spellEnd"/>
      <w:r>
        <w:t xml:space="preserve"> (rechts) in een selectie van 6 plots (SE: standaardfout).</w:t>
      </w:r>
      <w:bookmarkEnd w:id="40"/>
    </w:p>
    <w:p w:rsidR="00F845A1" w:rsidRDefault="00F845A1" w:rsidP="00F845A1">
      <w:pPr>
        <w:keepNext/>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noProof/>
          <w:lang w:eastAsia="nl-BE"/>
        </w:rPr>
        <w:lastRenderedPageBreak/>
        <w:drawing>
          <wp:inline distT="0" distB="0" distL="0" distR="0" wp14:anchorId="7824A137" wp14:editId="3049B7BD">
            <wp:extent cx="3663315" cy="2933700"/>
            <wp:effectExtent l="0" t="0" r="0" b="0"/>
            <wp:docPr id="1032" name="Afbeelding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ntalSoorten_6PQ.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3315" cy="2933700"/>
                    </a:xfrm>
                    <a:prstGeom prst="rect">
                      <a:avLst/>
                    </a:prstGeom>
                  </pic:spPr>
                </pic:pic>
              </a:graphicData>
            </a:graphic>
          </wp:inline>
        </w:drawing>
      </w:r>
    </w:p>
    <w:p w:rsidR="00F845A1" w:rsidRDefault="00F845A1" w:rsidP="00F845A1">
      <w:pPr>
        <w:pStyle w:val="Bijschrift"/>
        <w:pBdr>
          <w:top w:val="single" w:sz="4" w:space="1" w:color="auto"/>
          <w:left w:val="single" w:sz="4" w:space="4" w:color="auto"/>
          <w:bottom w:val="single" w:sz="4" w:space="1" w:color="auto"/>
          <w:right w:val="single" w:sz="4" w:space="4" w:color="auto"/>
        </w:pBdr>
        <w:shd w:val="clear" w:color="auto" w:fill="D9D9D9" w:themeFill="background1" w:themeFillShade="D9"/>
      </w:pPr>
      <w:bookmarkStart w:id="41" w:name="_Ref45720580"/>
      <w:bookmarkStart w:id="42" w:name="_Toc50486650"/>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6</w:t>
      </w:r>
      <w:r>
        <w:rPr>
          <w:noProof/>
        </w:rPr>
        <w:fldChar w:fldCharType="end"/>
      </w:r>
      <w:bookmarkEnd w:id="41"/>
      <w:r>
        <w:t xml:space="preserve"> Het gemiddeld aantal soorten in de </w:t>
      </w:r>
      <w:proofErr w:type="spellStart"/>
      <w:r>
        <w:t>kruidlaag</w:t>
      </w:r>
      <w:proofErr w:type="spellEnd"/>
      <w:r>
        <w:t xml:space="preserve"> van een selectie van 6 plots (foutenvlaggen: standaardfout).</w:t>
      </w:r>
      <w:bookmarkEnd w:id="42"/>
    </w:p>
    <w:p w:rsidR="00F845A1" w:rsidRDefault="00F845A1" w:rsidP="00F845A1">
      <w:pPr>
        <w:keepNext/>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noProof/>
          <w:lang w:eastAsia="nl-BE"/>
        </w:rPr>
        <w:drawing>
          <wp:inline distT="0" distB="0" distL="0" distR="0" wp14:anchorId="171A91C6" wp14:editId="715710AC">
            <wp:extent cx="4886325" cy="2933700"/>
            <wp:effectExtent l="0" t="0" r="9525" b="0"/>
            <wp:docPr id="1033" name="Afbeelding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Urtica_Impatiens_6PQ.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325" cy="2933700"/>
                    </a:xfrm>
                    <a:prstGeom prst="rect">
                      <a:avLst/>
                    </a:prstGeom>
                  </pic:spPr>
                </pic:pic>
              </a:graphicData>
            </a:graphic>
          </wp:inline>
        </w:drawing>
      </w:r>
    </w:p>
    <w:p w:rsidR="00F845A1" w:rsidRDefault="00F845A1" w:rsidP="00F845A1">
      <w:pPr>
        <w:pStyle w:val="Bijschrift"/>
        <w:pBdr>
          <w:top w:val="single" w:sz="4" w:space="1" w:color="auto"/>
          <w:left w:val="single" w:sz="4" w:space="4" w:color="auto"/>
          <w:bottom w:val="single" w:sz="4" w:space="1" w:color="auto"/>
          <w:right w:val="single" w:sz="4" w:space="4" w:color="auto"/>
        </w:pBdr>
        <w:shd w:val="clear" w:color="auto" w:fill="D9D9D9" w:themeFill="background1" w:themeFillShade="D9"/>
      </w:pPr>
      <w:bookmarkStart w:id="43" w:name="_Ref45722786"/>
      <w:bookmarkStart w:id="44" w:name="_Toc50486651"/>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7</w:t>
      </w:r>
      <w:r>
        <w:rPr>
          <w:noProof/>
        </w:rPr>
        <w:fldChar w:fldCharType="end"/>
      </w:r>
      <w:bookmarkEnd w:id="43"/>
      <w:r>
        <w:t xml:space="preserve"> De gemiddelde bedekking van de mogelijke </w:t>
      </w:r>
      <w:proofErr w:type="spellStart"/>
      <w:r>
        <w:t>freatofyt</w:t>
      </w:r>
      <w:proofErr w:type="spellEnd"/>
      <w:r>
        <w:t xml:space="preserve"> reuzenbalsemien (</w:t>
      </w:r>
      <w:proofErr w:type="spellStart"/>
      <w:r w:rsidRPr="00FA794D">
        <w:rPr>
          <w:i/>
        </w:rPr>
        <w:t>Impatiens</w:t>
      </w:r>
      <w:proofErr w:type="spellEnd"/>
      <w:r w:rsidRPr="00FA794D">
        <w:rPr>
          <w:i/>
        </w:rPr>
        <w:t xml:space="preserve"> </w:t>
      </w:r>
      <w:proofErr w:type="spellStart"/>
      <w:r w:rsidRPr="00FA794D">
        <w:rPr>
          <w:i/>
        </w:rPr>
        <w:t>glandulifera</w:t>
      </w:r>
      <w:proofErr w:type="spellEnd"/>
      <w:r>
        <w:t xml:space="preserve">) en de </w:t>
      </w:r>
      <w:proofErr w:type="spellStart"/>
      <w:r>
        <w:t>afreatofyt</w:t>
      </w:r>
      <w:proofErr w:type="spellEnd"/>
      <w:r>
        <w:t xml:space="preserve"> grote brandnetel (</w:t>
      </w:r>
      <w:r w:rsidRPr="00FA794D">
        <w:rPr>
          <w:i/>
        </w:rPr>
        <w:t xml:space="preserve">Urtica </w:t>
      </w:r>
      <w:proofErr w:type="spellStart"/>
      <w:r w:rsidRPr="00FA794D">
        <w:rPr>
          <w:i/>
        </w:rPr>
        <w:t>dioica</w:t>
      </w:r>
      <w:proofErr w:type="spellEnd"/>
      <w:r>
        <w:t>) in een selectie van 6 plots (SE: standaardfout).</w:t>
      </w:r>
      <w:bookmarkEnd w:id="44"/>
    </w:p>
    <w:p w:rsidR="00F845A1" w:rsidRDefault="00F845A1" w:rsidP="00F845A1">
      <w:pPr>
        <w:keepNext/>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noProof/>
          <w:lang w:eastAsia="nl-BE"/>
        </w:rPr>
        <w:lastRenderedPageBreak/>
        <w:drawing>
          <wp:inline distT="0" distB="0" distL="0" distR="0" wp14:anchorId="34279C15" wp14:editId="6E9BA65F">
            <wp:extent cx="4886325" cy="2933700"/>
            <wp:effectExtent l="0" t="0" r="9525" b="0"/>
            <wp:docPr id="1034" name="Afbeelding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ekking_Lycopus, Mentha_6PQ.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6325" cy="2933700"/>
                    </a:xfrm>
                    <a:prstGeom prst="rect">
                      <a:avLst/>
                    </a:prstGeom>
                  </pic:spPr>
                </pic:pic>
              </a:graphicData>
            </a:graphic>
          </wp:inline>
        </w:drawing>
      </w:r>
    </w:p>
    <w:p w:rsidR="00F845A1" w:rsidRDefault="00F845A1" w:rsidP="00F845A1">
      <w:pPr>
        <w:pStyle w:val="Bijschrift"/>
        <w:pBdr>
          <w:top w:val="single" w:sz="4" w:space="1" w:color="auto"/>
          <w:left w:val="single" w:sz="4" w:space="4" w:color="auto"/>
          <w:bottom w:val="single" w:sz="4" w:space="1" w:color="auto"/>
          <w:right w:val="single" w:sz="4" w:space="4" w:color="auto"/>
        </w:pBdr>
        <w:shd w:val="clear" w:color="auto" w:fill="D9D9D9" w:themeFill="background1" w:themeFillShade="D9"/>
      </w:pPr>
      <w:bookmarkStart w:id="45" w:name="_Ref45727038"/>
      <w:bookmarkStart w:id="46" w:name="_Toc50486652"/>
      <w:r>
        <w:t xml:space="preserve">Figuur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Figuur \* ARABIC \s 1 </w:instrText>
      </w:r>
      <w:r>
        <w:fldChar w:fldCharType="separate"/>
      </w:r>
      <w:r>
        <w:rPr>
          <w:noProof/>
        </w:rPr>
        <w:t>8</w:t>
      </w:r>
      <w:r>
        <w:rPr>
          <w:noProof/>
        </w:rPr>
        <w:fldChar w:fldCharType="end"/>
      </w:r>
      <w:bookmarkEnd w:id="45"/>
      <w:r>
        <w:t xml:space="preserve"> De gemiddelde bedekking van 2 </w:t>
      </w:r>
      <w:proofErr w:type="spellStart"/>
      <w:r>
        <w:t>freatofyten</w:t>
      </w:r>
      <w:proofErr w:type="spellEnd"/>
      <w:r>
        <w:t xml:space="preserve"> (wolfspoot (</w:t>
      </w:r>
      <w:proofErr w:type="spellStart"/>
      <w:r w:rsidRPr="00706F22">
        <w:rPr>
          <w:i/>
        </w:rPr>
        <w:t>Lycopus</w:t>
      </w:r>
      <w:proofErr w:type="spellEnd"/>
      <w:r w:rsidRPr="00706F22">
        <w:rPr>
          <w:i/>
        </w:rPr>
        <w:t xml:space="preserve"> </w:t>
      </w:r>
      <w:proofErr w:type="spellStart"/>
      <w:r w:rsidRPr="00706F22">
        <w:rPr>
          <w:i/>
        </w:rPr>
        <w:t>europaeus</w:t>
      </w:r>
      <w:proofErr w:type="spellEnd"/>
      <w:r>
        <w:t>), watermunt (</w:t>
      </w:r>
      <w:proofErr w:type="spellStart"/>
      <w:r w:rsidRPr="00706F22">
        <w:rPr>
          <w:i/>
        </w:rPr>
        <w:t>Mentha</w:t>
      </w:r>
      <w:proofErr w:type="spellEnd"/>
      <w:r w:rsidRPr="00706F22">
        <w:rPr>
          <w:i/>
        </w:rPr>
        <w:t xml:space="preserve"> </w:t>
      </w:r>
      <w:proofErr w:type="spellStart"/>
      <w:r w:rsidRPr="00706F22">
        <w:rPr>
          <w:i/>
        </w:rPr>
        <w:t>aquatica</w:t>
      </w:r>
      <w:proofErr w:type="spellEnd"/>
      <w:r>
        <w:t>)) in een selectie van 6 plots (SE: standaardfout).</w:t>
      </w:r>
      <w:bookmarkEnd w:id="46"/>
    </w:p>
    <w:p w:rsidR="00F845A1" w:rsidRPr="00115D97" w:rsidRDefault="00F845A1" w:rsidP="00F845A1"/>
    <w:p w:rsidR="00F845A1" w:rsidRDefault="00F845A1" w:rsidP="00F845A1">
      <w:pPr>
        <w:pStyle w:val="Kop2"/>
        <w:tabs>
          <w:tab w:val="clear" w:pos="3686"/>
          <w:tab w:val="num" w:pos="576"/>
          <w:tab w:val="left" w:pos="851"/>
        </w:tabs>
        <w:spacing w:before="180" w:after="120"/>
        <w:ind w:left="576" w:hanging="576"/>
        <w:contextualSpacing w:val="0"/>
        <w:jc w:val="both"/>
      </w:pPr>
      <w:bookmarkStart w:id="47" w:name="_Toc514055155"/>
      <w:bookmarkStart w:id="48" w:name="_Toc50486532"/>
      <w:bookmarkStart w:id="49" w:name="_Toc484173760"/>
      <w:r>
        <w:t>Algemene conclusie</w:t>
      </w:r>
      <w:bookmarkEnd w:id="47"/>
      <w:bookmarkEnd w:id="48"/>
    </w:p>
    <w:p w:rsidR="00F845A1" w:rsidRDefault="00F845A1" w:rsidP="00F845A1">
      <w:r>
        <w:t xml:space="preserve">Een aantal voorbeelden zijn gegeven om aan de hand van vegetatieopnames van permanente kwadraten </w:t>
      </w:r>
      <w:r w:rsidRPr="009968AF">
        <w:t xml:space="preserve">specifieke kwaliteitsparameters voor schorvegetaties te berekenen. </w:t>
      </w:r>
      <w:r>
        <w:t>Deze parameters zijn hier als voorbeeld gegeven maar dienen nog verder te worden uitgewerkt.</w:t>
      </w:r>
    </w:p>
    <w:p w:rsidR="00F845A1" w:rsidRDefault="00F845A1" w:rsidP="00F845A1">
      <w:r>
        <w:t>Zo kunnen veranderingen in de frequentie en bedekking van invasieve exoten zoals reuzenbalsemien (</w:t>
      </w:r>
      <w:proofErr w:type="spellStart"/>
      <w:r w:rsidRPr="008415EC">
        <w:rPr>
          <w:i/>
        </w:rPr>
        <w:t>Impatiens</w:t>
      </w:r>
      <w:proofErr w:type="spellEnd"/>
      <w:r w:rsidRPr="008415EC">
        <w:rPr>
          <w:i/>
        </w:rPr>
        <w:t xml:space="preserve"> </w:t>
      </w:r>
      <w:proofErr w:type="spellStart"/>
      <w:r w:rsidRPr="008415EC">
        <w:rPr>
          <w:i/>
        </w:rPr>
        <w:t>glandulifera</w:t>
      </w:r>
      <w:proofErr w:type="spellEnd"/>
      <w:r>
        <w:t>), Japanse duizendknoop (</w:t>
      </w:r>
      <w:proofErr w:type="spellStart"/>
      <w:r w:rsidRPr="008415EC">
        <w:rPr>
          <w:i/>
        </w:rPr>
        <w:t>Fallopia</w:t>
      </w:r>
      <w:proofErr w:type="spellEnd"/>
      <w:r w:rsidRPr="008415EC">
        <w:rPr>
          <w:i/>
        </w:rPr>
        <w:t xml:space="preserve"> </w:t>
      </w:r>
      <w:proofErr w:type="spellStart"/>
      <w:r w:rsidRPr="008415EC">
        <w:rPr>
          <w:i/>
        </w:rPr>
        <w:t>japonica</w:t>
      </w:r>
      <w:proofErr w:type="spellEnd"/>
      <w:r>
        <w:t>), enz. worden becijferd. Japanse duizendknoop (</w:t>
      </w:r>
      <w:proofErr w:type="spellStart"/>
      <w:r w:rsidRPr="008415EC">
        <w:rPr>
          <w:i/>
        </w:rPr>
        <w:t>Fallopia</w:t>
      </w:r>
      <w:proofErr w:type="spellEnd"/>
      <w:r w:rsidRPr="008415EC">
        <w:rPr>
          <w:i/>
        </w:rPr>
        <w:t xml:space="preserve"> </w:t>
      </w:r>
      <w:proofErr w:type="spellStart"/>
      <w:r w:rsidRPr="008415EC">
        <w:rPr>
          <w:i/>
        </w:rPr>
        <w:t>japonica</w:t>
      </w:r>
      <w:proofErr w:type="spellEnd"/>
      <w:r>
        <w:t>) blijkt bijvoorbeeld toe te nemen terwijl goudknopje (</w:t>
      </w:r>
      <w:proofErr w:type="spellStart"/>
      <w:r w:rsidRPr="008415EC">
        <w:rPr>
          <w:i/>
        </w:rPr>
        <w:t>Cotula</w:t>
      </w:r>
      <w:proofErr w:type="spellEnd"/>
      <w:r w:rsidRPr="008415EC">
        <w:rPr>
          <w:i/>
        </w:rPr>
        <w:t xml:space="preserve"> </w:t>
      </w:r>
      <w:proofErr w:type="spellStart"/>
      <w:r w:rsidRPr="008415EC">
        <w:rPr>
          <w:i/>
        </w:rPr>
        <w:t>coronopifolia</w:t>
      </w:r>
      <w:proofErr w:type="spellEnd"/>
      <w:r>
        <w:t>) zich blijvend heeft gevestigd in de brakwaterzone maar een efemeer karakter kent.</w:t>
      </w:r>
    </w:p>
    <w:p w:rsidR="00F845A1" w:rsidRDefault="00F845A1" w:rsidP="00F845A1">
      <w:r>
        <w:t xml:space="preserve">Veranderingen in de bedekkingen van indicatorsoorten kunnen </w:t>
      </w:r>
      <w:proofErr w:type="spellStart"/>
      <w:r>
        <w:t>abiotische</w:t>
      </w:r>
      <w:proofErr w:type="spellEnd"/>
      <w:r>
        <w:t xml:space="preserve"> wijzigingen signaleren. </w:t>
      </w:r>
      <w:r w:rsidRPr="008415EC">
        <w:t>De</w:t>
      </w:r>
      <w:r>
        <w:t xml:space="preserve"> afname van reuzenbalsemien en wilg (</w:t>
      </w:r>
      <w:proofErr w:type="spellStart"/>
      <w:r w:rsidRPr="00BB49FE">
        <w:rPr>
          <w:i/>
        </w:rPr>
        <w:t>Salix</w:t>
      </w:r>
      <w:proofErr w:type="spellEnd"/>
      <w:r>
        <w:t xml:space="preserve"> </w:t>
      </w:r>
      <w:proofErr w:type="spellStart"/>
      <w:r>
        <w:t>spp</w:t>
      </w:r>
      <w:proofErr w:type="spellEnd"/>
      <w:r>
        <w:t xml:space="preserve">.) in de zone ter hoogte van de Polders van </w:t>
      </w:r>
      <w:proofErr w:type="spellStart"/>
      <w:r>
        <w:t>Kruibeke</w:t>
      </w:r>
      <w:proofErr w:type="spellEnd"/>
      <w:r>
        <w:t xml:space="preserve"> kan wijzen op het stroomopwaarts verschuiven van de saliniteitsgradiënt. </w:t>
      </w:r>
    </w:p>
    <w:p w:rsidR="00F845A1" w:rsidRDefault="00F845A1" w:rsidP="00F845A1">
      <w:r>
        <w:t>Het al dan niet optreden van veranderingen in de bedekking van climaxsoorten zoals riet (</w:t>
      </w:r>
      <w:proofErr w:type="spellStart"/>
      <w:r w:rsidRPr="00BB49FE">
        <w:rPr>
          <w:i/>
        </w:rPr>
        <w:t>Phragmites</w:t>
      </w:r>
      <w:proofErr w:type="spellEnd"/>
      <w:r w:rsidRPr="00BB49FE">
        <w:rPr>
          <w:i/>
        </w:rPr>
        <w:t xml:space="preserve"> australis</w:t>
      </w:r>
      <w:r>
        <w:t xml:space="preserve">) en wilgen, is een indicatie voor het optreden van de schorcyclus. Voor de brakwaterschorren blijkt deze cyclus alvast niet op te treden. Dit kan mogelijk in verband gebracht worden met een te hoge </w:t>
      </w:r>
      <w:proofErr w:type="spellStart"/>
      <w:r>
        <w:t>hydrodynamiek</w:t>
      </w:r>
      <w:proofErr w:type="spellEnd"/>
      <w:r>
        <w:t xml:space="preserve"> in de schorrand. Anderzijds stellen we in een aantal vochtige permanente kwadraten in zoetwaterschorren een interne verjonging vast met grondwaterafhankelijke kruidachtige vegetatie na degeneratie  van wilgen. Deze cyclische successie kan dus lokale verjonging geven in een schor en lijkt dus lokaal de slik-schorcyclus te vervangen. </w:t>
      </w:r>
    </w:p>
    <w:p w:rsidR="00F845A1" w:rsidRDefault="00F845A1" w:rsidP="00F845A1"/>
    <w:p w:rsidR="00F845A1" w:rsidRDefault="00F845A1" w:rsidP="00F845A1">
      <w:pPr>
        <w:pStyle w:val="Kop2"/>
        <w:tabs>
          <w:tab w:val="clear" w:pos="3686"/>
          <w:tab w:val="num" w:pos="576"/>
          <w:tab w:val="left" w:pos="851"/>
        </w:tabs>
        <w:spacing w:before="180" w:after="120"/>
        <w:ind w:left="576" w:hanging="576"/>
        <w:contextualSpacing w:val="0"/>
      </w:pPr>
      <w:bookmarkStart w:id="50" w:name="_Toc514055156"/>
      <w:bookmarkStart w:id="51" w:name="_Toc50486533"/>
      <w:r>
        <w:t>Referenties</w:t>
      </w:r>
      <w:bookmarkEnd w:id="50"/>
      <w:bookmarkEnd w:id="51"/>
    </w:p>
    <w:p w:rsidR="00F845A1" w:rsidRPr="001B0FD1" w:rsidRDefault="00F845A1" w:rsidP="00F845A1">
      <w:r w:rsidRPr="00EF3D5D">
        <w:t xml:space="preserve">Bakker J.P., </w:t>
      </w:r>
      <w:proofErr w:type="spellStart"/>
      <w:r w:rsidRPr="00EF3D5D">
        <w:t>Olff</w:t>
      </w:r>
      <w:proofErr w:type="spellEnd"/>
      <w:r w:rsidRPr="00EF3D5D">
        <w:t xml:space="preserve"> H., Willems J.H. &amp; </w:t>
      </w:r>
      <w:proofErr w:type="spellStart"/>
      <w:r w:rsidRPr="00EF3D5D">
        <w:t>Zobel</w:t>
      </w:r>
      <w:proofErr w:type="spellEnd"/>
      <w:r w:rsidRPr="00EF3D5D">
        <w:t xml:space="preserve"> M. (1996). </w:t>
      </w:r>
      <w:r w:rsidRPr="00041BA2">
        <w:rPr>
          <w:lang w:val="en-GB"/>
        </w:rPr>
        <w:t xml:space="preserve">Why do we need permanent plots in the study of long-term vegetation dynamics? </w:t>
      </w:r>
      <w:r w:rsidRPr="001B0FD1">
        <w:t xml:space="preserve">Journal of </w:t>
      </w:r>
      <w:proofErr w:type="spellStart"/>
      <w:r w:rsidRPr="001B0FD1">
        <w:t>Vegetation</w:t>
      </w:r>
      <w:proofErr w:type="spellEnd"/>
      <w:r w:rsidRPr="001B0FD1">
        <w:t xml:space="preserve"> </w:t>
      </w:r>
      <w:proofErr w:type="spellStart"/>
      <w:r w:rsidRPr="001B0FD1">
        <w:t>Science</w:t>
      </w:r>
      <w:proofErr w:type="spellEnd"/>
      <w:r w:rsidRPr="001B0FD1">
        <w:t xml:space="preserve"> 7: 147-156.</w:t>
      </w:r>
    </w:p>
    <w:p w:rsidR="00F845A1" w:rsidRDefault="00F845A1" w:rsidP="00F845A1">
      <w:proofErr w:type="spellStart"/>
      <w:r w:rsidRPr="00EF3D5D">
        <w:lastRenderedPageBreak/>
        <w:t>Lambinon</w:t>
      </w:r>
      <w:proofErr w:type="spellEnd"/>
      <w:r w:rsidRPr="00EF3D5D">
        <w:t xml:space="preserve"> J</w:t>
      </w:r>
      <w:r>
        <w:t xml:space="preserve">., De </w:t>
      </w:r>
      <w:proofErr w:type="spellStart"/>
      <w:r>
        <w:t>Langhe</w:t>
      </w:r>
      <w:proofErr w:type="spellEnd"/>
      <w:r>
        <w:t xml:space="preserve"> JE., </w:t>
      </w:r>
      <w:proofErr w:type="spellStart"/>
      <w:r>
        <w:t>Delvosalle</w:t>
      </w:r>
      <w:proofErr w:type="spellEnd"/>
      <w:r>
        <w:t xml:space="preserve"> L.</w:t>
      </w:r>
      <w:r w:rsidRPr="00EF3D5D">
        <w:t xml:space="preserve"> &amp; </w:t>
      </w:r>
      <w:proofErr w:type="spellStart"/>
      <w:r w:rsidRPr="00EF3D5D">
        <w:t>Duvigneaud</w:t>
      </w:r>
      <w:proofErr w:type="spellEnd"/>
      <w:r w:rsidRPr="00EF3D5D">
        <w:t xml:space="preserve"> J. (1998). </w:t>
      </w:r>
      <w:r w:rsidRPr="001B0FD1">
        <w:t>Flora van België, het Groothertogdom Luxemburg, Noord-Frankr</w:t>
      </w:r>
      <w:r w:rsidRPr="00357EC9">
        <w:t>ijk en de aangrenzende gebieden (</w:t>
      </w:r>
      <w:proofErr w:type="spellStart"/>
      <w:r w:rsidRPr="00357EC9">
        <w:t>Pteridofyten</w:t>
      </w:r>
      <w:proofErr w:type="spellEnd"/>
      <w:r w:rsidRPr="00357EC9">
        <w:t xml:space="preserve"> en </w:t>
      </w:r>
      <w:proofErr w:type="spellStart"/>
      <w:r w:rsidRPr="00357EC9">
        <w:t>Spermatofyten</w:t>
      </w:r>
      <w:proofErr w:type="spellEnd"/>
      <w:r w:rsidRPr="00357EC9">
        <w:t xml:space="preserve">). 3e druk, Nationale Plantentuin van België, </w:t>
      </w:r>
      <w:proofErr w:type="spellStart"/>
      <w:r w:rsidRPr="00357EC9">
        <w:t>Meise</w:t>
      </w:r>
      <w:proofErr w:type="spellEnd"/>
      <w:r w:rsidRPr="00357EC9">
        <w:t>, 1091 p.</w:t>
      </w:r>
    </w:p>
    <w:p w:rsidR="00F845A1" w:rsidRDefault="00F845A1" w:rsidP="00F845A1">
      <w:proofErr w:type="spellStart"/>
      <w:r w:rsidRPr="00706F22">
        <w:t>L</w:t>
      </w:r>
      <w:r>
        <w:t>ondo</w:t>
      </w:r>
      <w:proofErr w:type="spellEnd"/>
      <w:r>
        <w:t xml:space="preserve"> G.</w:t>
      </w:r>
      <w:r w:rsidRPr="00706F22">
        <w:t xml:space="preserve"> </w:t>
      </w:r>
      <w:r>
        <w:t>(</w:t>
      </w:r>
      <w:r w:rsidRPr="00706F22">
        <w:t>1988</w:t>
      </w:r>
      <w:r>
        <w:t>)</w:t>
      </w:r>
      <w:r w:rsidRPr="00706F22">
        <w:t xml:space="preserve">. Nederlandse </w:t>
      </w:r>
      <w:proofErr w:type="spellStart"/>
      <w:r w:rsidRPr="00706F22">
        <w:t>freatofyten</w:t>
      </w:r>
      <w:proofErr w:type="spellEnd"/>
      <w:r w:rsidRPr="00706F22">
        <w:t xml:space="preserve">. </w:t>
      </w:r>
      <w:proofErr w:type="spellStart"/>
      <w:r w:rsidRPr="00706F22">
        <w:t>Pudoc</w:t>
      </w:r>
      <w:proofErr w:type="spellEnd"/>
      <w:r w:rsidRPr="00706F22">
        <w:t>, Wageningen, 108 pp.</w:t>
      </w:r>
    </w:p>
    <w:p w:rsidR="00F845A1" w:rsidRDefault="00F845A1" w:rsidP="00F845A1">
      <w:proofErr w:type="spellStart"/>
      <w:r w:rsidRPr="00660EB8">
        <w:t>Schaminée</w:t>
      </w:r>
      <w:proofErr w:type="spellEnd"/>
      <w:r w:rsidRPr="00660EB8">
        <w:t xml:space="preserve"> J.H.J., S</w:t>
      </w:r>
      <w:r>
        <w:t xml:space="preserve">tortelder A.H.F. &amp; </w:t>
      </w:r>
      <w:proofErr w:type="spellStart"/>
      <w:r>
        <w:t>Westhoff</w:t>
      </w:r>
      <w:proofErr w:type="spellEnd"/>
      <w:r>
        <w:t xml:space="preserve"> V.</w:t>
      </w:r>
      <w:r w:rsidRPr="00660EB8">
        <w:t xml:space="preserve"> (1995). De vegetatie van Nederland. Deel 1 Inleiding tot de plantensociologie: grondslagen, methoden en toepassingen. </w:t>
      </w:r>
      <w:proofErr w:type="spellStart"/>
      <w:r w:rsidRPr="00660EB8">
        <w:t>Opulus</w:t>
      </w:r>
      <w:proofErr w:type="spellEnd"/>
      <w:r w:rsidRPr="00660EB8">
        <w:t xml:space="preserve"> Press, Uppsala, Leiden, 296 p.</w:t>
      </w:r>
    </w:p>
    <w:p w:rsidR="00F845A1" w:rsidRPr="00F77517" w:rsidRDefault="00F845A1" w:rsidP="00F845A1">
      <w:pPr>
        <w:rPr>
          <w:lang w:val="en-GB"/>
        </w:rPr>
      </w:pPr>
      <w:r w:rsidRPr="00F77517">
        <w:t xml:space="preserve">van de Koppel J., van der Wal D., Bakker J.P. &amp; Herman P.M.J. (2005). </w:t>
      </w:r>
      <w:r w:rsidRPr="00F77517">
        <w:rPr>
          <w:lang w:val="en-GB"/>
        </w:rPr>
        <w:t>Self-organization and vegetation collapse in salt marsh ecosystems. The American Naturalist 165, E1–E12.</w:t>
      </w:r>
    </w:p>
    <w:p w:rsidR="00F845A1" w:rsidRPr="00115D97" w:rsidRDefault="00F845A1" w:rsidP="00F845A1">
      <w:r w:rsidRPr="001575BE">
        <w:t xml:space="preserve">Vandevoorde B., </w:t>
      </w:r>
      <w:proofErr w:type="spellStart"/>
      <w:r w:rsidRPr="001575BE">
        <w:t>Dhal</w:t>
      </w:r>
      <w:r>
        <w:t>uin</w:t>
      </w:r>
      <w:proofErr w:type="spellEnd"/>
      <w:r>
        <w:t xml:space="preserve"> P., Van </w:t>
      </w:r>
      <w:proofErr w:type="spellStart"/>
      <w:r>
        <w:t>Lierop</w:t>
      </w:r>
      <w:proofErr w:type="spellEnd"/>
      <w:r>
        <w:t xml:space="preserve"> F., </w:t>
      </w:r>
      <w:proofErr w:type="spellStart"/>
      <w:r>
        <w:t>Elsen</w:t>
      </w:r>
      <w:proofErr w:type="spellEnd"/>
      <w:r>
        <w:t xml:space="preserve"> R. &amp;</w:t>
      </w:r>
      <w:r w:rsidRPr="001575BE">
        <w:t xml:space="preserve"> Van den Bergh E. (2019). Beheervoorstel voor de dijkvegetaties van de </w:t>
      </w:r>
      <w:proofErr w:type="spellStart"/>
      <w:r w:rsidRPr="001575BE">
        <w:t>Zeeschelde</w:t>
      </w:r>
      <w:proofErr w:type="spellEnd"/>
      <w:r w:rsidRPr="001575BE">
        <w:t xml:space="preserve">, </w:t>
      </w:r>
      <w:proofErr w:type="spellStart"/>
      <w:r w:rsidRPr="001575BE">
        <w:t>Durme</w:t>
      </w:r>
      <w:proofErr w:type="spellEnd"/>
      <w:r w:rsidRPr="001575BE">
        <w:t xml:space="preserve"> en </w:t>
      </w:r>
      <w:proofErr w:type="spellStart"/>
      <w:r w:rsidRPr="001575BE">
        <w:t>Rupel</w:t>
      </w:r>
      <w:proofErr w:type="spellEnd"/>
      <w:r w:rsidRPr="001575BE">
        <w:t xml:space="preserve"> (district 1 &amp; 2). Rapporten van het Instituut voor Natuur- en Bosonderzoek INBO.R.2019.45, Brussel.</w:t>
      </w:r>
    </w:p>
    <w:p w:rsidR="00F845A1" w:rsidRDefault="00F845A1" w:rsidP="00F845A1">
      <w:bookmarkStart w:id="52" w:name="_Toc492355791"/>
      <w:bookmarkEnd w:id="49"/>
      <w:bookmarkEnd w:id="52"/>
      <w:r w:rsidRPr="003C344F">
        <w:t xml:space="preserve">Van </w:t>
      </w:r>
      <w:proofErr w:type="spellStart"/>
      <w:r w:rsidRPr="003C344F">
        <w:t>Ryckegem</w:t>
      </w:r>
      <w:proofErr w:type="spellEnd"/>
      <w:r w:rsidRPr="003C344F">
        <w:t xml:space="preserve"> G., Van </w:t>
      </w:r>
      <w:proofErr w:type="spellStart"/>
      <w:r w:rsidRPr="003C344F">
        <w:t>Braeckel</w:t>
      </w:r>
      <w:proofErr w:type="spellEnd"/>
      <w:r w:rsidRPr="003C344F">
        <w:t xml:space="preserve"> A., </w:t>
      </w:r>
      <w:proofErr w:type="spellStart"/>
      <w:r w:rsidRPr="003C344F">
        <w:t>Elsen</w:t>
      </w:r>
      <w:proofErr w:type="spellEnd"/>
      <w:r w:rsidRPr="003C344F">
        <w:t xml:space="preserve"> R., </w:t>
      </w:r>
      <w:proofErr w:type="spellStart"/>
      <w:r w:rsidRPr="003C344F">
        <w:t>Speybroeck</w:t>
      </w:r>
      <w:proofErr w:type="spellEnd"/>
      <w:r w:rsidRPr="003C344F">
        <w:t xml:space="preserve"> J., Vandevoorde B., Mertens W., </w:t>
      </w:r>
      <w:proofErr w:type="spellStart"/>
      <w:r w:rsidRPr="003C344F">
        <w:t>Breine</w:t>
      </w:r>
      <w:proofErr w:type="spellEnd"/>
      <w:r w:rsidRPr="003C344F">
        <w:t xml:space="preserve"> J., De Regge N., </w:t>
      </w:r>
      <w:proofErr w:type="spellStart"/>
      <w:r w:rsidRPr="003C344F">
        <w:t>Soors</w:t>
      </w:r>
      <w:proofErr w:type="spellEnd"/>
      <w:r w:rsidRPr="003C344F">
        <w:t xml:space="preserve"> J., </w:t>
      </w:r>
      <w:proofErr w:type="spellStart"/>
      <w:r w:rsidRPr="003C344F">
        <w:t>Dhaluin</w:t>
      </w:r>
      <w:proofErr w:type="spellEnd"/>
      <w:r w:rsidRPr="003C344F">
        <w:t xml:space="preserve"> P., </w:t>
      </w:r>
      <w:proofErr w:type="spellStart"/>
      <w:r w:rsidRPr="003C344F">
        <w:t>Terrie</w:t>
      </w:r>
      <w:proofErr w:type="spellEnd"/>
      <w:r w:rsidRPr="003C344F">
        <w:t xml:space="preserve"> T., Van </w:t>
      </w:r>
      <w:proofErr w:type="spellStart"/>
      <w:r w:rsidRPr="003C344F">
        <w:t>L</w:t>
      </w:r>
      <w:r>
        <w:t>ierop</w:t>
      </w:r>
      <w:proofErr w:type="spellEnd"/>
      <w:r>
        <w:t xml:space="preserve"> F., </w:t>
      </w:r>
      <w:proofErr w:type="spellStart"/>
      <w:r>
        <w:t>Hessel</w:t>
      </w:r>
      <w:proofErr w:type="spellEnd"/>
      <w:r>
        <w:t xml:space="preserve"> K., </w:t>
      </w:r>
      <w:proofErr w:type="spellStart"/>
      <w:r>
        <w:t>Froidmont</w:t>
      </w:r>
      <w:proofErr w:type="spellEnd"/>
      <w:r w:rsidRPr="003C344F">
        <w:t xml:space="preserve"> M. &amp; Van den Bergh E. (2015). MONEOS – Geïntegreerd datarapport INBO: toestand </w:t>
      </w:r>
      <w:proofErr w:type="spellStart"/>
      <w:r w:rsidRPr="003C344F">
        <w:t>Zeeschelde</w:t>
      </w:r>
      <w:proofErr w:type="spellEnd"/>
      <w:r w:rsidRPr="003C344F">
        <w:t xml:space="preserve"> 2014. Monitoringsoverzicht en 1ste </w:t>
      </w:r>
      <w:proofErr w:type="spellStart"/>
      <w:r w:rsidRPr="003C344F">
        <w:t>lijnsrapportage</w:t>
      </w:r>
      <w:proofErr w:type="spellEnd"/>
      <w:r w:rsidRPr="003C344F">
        <w:t xml:space="preserve"> Geomorfologie, diversiteit Habitats en diversiteit Soorten. Rapporten van het Instituut voor Natuur- en Bosonderzoek INBO.R.2015.8990774. Instituut voor Natuur- en Bosonderzoek, Brussel.</w:t>
      </w:r>
    </w:p>
    <w:p w:rsidR="00F845A1" w:rsidRDefault="00F845A1" w:rsidP="00F845A1">
      <w:r w:rsidRPr="003C344F">
        <w:t xml:space="preserve">Van </w:t>
      </w:r>
      <w:proofErr w:type="spellStart"/>
      <w:r w:rsidRPr="003C344F">
        <w:t>Ryckegem</w:t>
      </w:r>
      <w:proofErr w:type="spellEnd"/>
      <w:r w:rsidRPr="003C344F">
        <w:t xml:space="preserve"> G., Van </w:t>
      </w:r>
      <w:proofErr w:type="spellStart"/>
      <w:r w:rsidRPr="003C344F">
        <w:t>Braeckel</w:t>
      </w:r>
      <w:proofErr w:type="spellEnd"/>
      <w:r w:rsidRPr="003C344F">
        <w:t xml:space="preserve"> A., </w:t>
      </w:r>
      <w:proofErr w:type="spellStart"/>
      <w:r w:rsidRPr="003C344F">
        <w:t>Elsen</w:t>
      </w:r>
      <w:proofErr w:type="spellEnd"/>
      <w:r w:rsidRPr="003C344F">
        <w:t xml:space="preserve"> R., </w:t>
      </w:r>
      <w:proofErr w:type="spellStart"/>
      <w:r w:rsidRPr="003C344F">
        <w:t>Speybroeck</w:t>
      </w:r>
      <w:proofErr w:type="spellEnd"/>
      <w:r w:rsidRPr="003C344F">
        <w:t xml:space="preserve"> J., Vandevoorde B., Mertens W., </w:t>
      </w:r>
      <w:proofErr w:type="spellStart"/>
      <w:r w:rsidRPr="003C344F">
        <w:t>Breine</w:t>
      </w:r>
      <w:proofErr w:type="spellEnd"/>
      <w:r w:rsidRPr="003C344F">
        <w:t xml:space="preserve"> J., De Regge N., </w:t>
      </w:r>
      <w:proofErr w:type="spellStart"/>
      <w:r w:rsidRPr="003C344F">
        <w:t>Soors</w:t>
      </w:r>
      <w:proofErr w:type="spellEnd"/>
      <w:r w:rsidRPr="003C344F">
        <w:t xml:space="preserve"> J., </w:t>
      </w:r>
      <w:proofErr w:type="spellStart"/>
      <w:r w:rsidRPr="003C344F">
        <w:t>Dh</w:t>
      </w:r>
      <w:r>
        <w:t>aluin</w:t>
      </w:r>
      <w:proofErr w:type="spellEnd"/>
      <w:r>
        <w:t xml:space="preserve"> P., </w:t>
      </w:r>
      <w:proofErr w:type="spellStart"/>
      <w:r>
        <w:t>Terrie</w:t>
      </w:r>
      <w:proofErr w:type="spellEnd"/>
      <w:r>
        <w:t xml:space="preserve"> T., Van </w:t>
      </w:r>
      <w:proofErr w:type="spellStart"/>
      <w:r>
        <w:t>Lierop</w:t>
      </w:r>
      <w:proofErr w:type="spellEnd"/>
      <w:r w:rsidRPr="003C344F">
        <w:t xml:space="preserve"> F., </w:t>
      </w:r>
      <w:proofErr w:type="spellStart"/>
      <w:r w:rsidRPr="003C344F">
        <w:t>Hessel</w:t>
      </w:r>
      <w:proofErr w:type="spellEnd"/>
      <w:r w:rsidRPr="003C344F">
        <w:t xml:space="preserve"> K. &amp; Van den Bergh E. (2014). MONEOS – Geïntegreerd datarapport INBO: toestand </w:t>
      </w:r>
      <w:proofErr w:type="spellStart"/>
      <w:r w:rsidRPr="003C344F">
        <w:t>Zeeschelde</w:t>
      </w:r>
      <w:proofErr w:type="spellEnd"/>
      <w:r w:rsidRPr="003C344F">
        <w:t xml:space="preserve"> 2013. Monitoringsoverzicht en 1ste </w:t>
      </w:r>
      <w:proofErr w:type="spellStart"/>
      <w:r w:rsidRPr="003C344F">
        <w:t>lijnsrapportage</w:t>
      </w:r>
      <w:proofErr w:type="spellEnd"/>
      <w:r w:rsidRPr="003C344F">
        <w:t xml:space="preserve"> Geomorfologie, diversiteit Habitats en diversiteit Soorten. Rapporten van het Instituut voor Natuur- en Bosonderzoek 2014 (2646963). Instituut voor Natuur- en Bosonderzoek, Brussel.</w:t>
      </w:r>
    </w:p>
    <w:p w:rsidR="00F845A1" w:rsidRDefault="00F845A1" w:rsidP="00F845A1">
      <w:r w:rsidRPr="00FC2077">
        <w:t xml:space="preserve">Van </w:t>
      </w:r>
      <w:proofErr w:type="spellStart"/>
      <w:r w:rsidRPr="00FC2077">
        <w:t>Ryckegem</w:t>
      </w:r>
      <w:proofErr w:type="spellEnd"/>
      <w:r w:rsidRPr="00FC2077">
        <w:t xml:space="preserve"> G., Van </w:t>
      </w:r>
      <w:proofErr w:type="spellStart"/>
      <w:r w:rsidRPr="00FC2077">
        <w:t>Braeckel</w:t>
      </w:r>
      <w:proofErr w:type="spellEnd"/>
      <w:r w:rsidRPr="00FC2077">
        <w:t xml:space="preserve"> A., </w:t>
      </w:r>
      <w:proofErr w:type="spellStart"/>
      <w:r w:rsidRPr="00FC2077">
        <w:t>Elsen</w:t>
      </w:r>
      <w:proofErr w:type="spellEnd"/>
      <w:r w:rsidRPr="00FC2077">
        <w:t xml:space="preserve"> R., </w:t>
      </w:r>
      <w:proofErr w:type="spellStart"/>
      <w:r w:rsidRPr="00FC2077">
        <w:t>Speybroeck</w:t>
      </w:r>
      <w:proofErr w:type="spellEnd"/>
      <w:r w:rsidRPr="00FC2077">
        <w:t xml:space="preserve"> J., Vandevoorde B., Mertens W., </w:t>
      </w:r>
      <w:proofErr w:type="spellStart"/>
      <w:r w:rsidRPr="00FC2077">
        <w:t>Breine</w:t>
      </w:r>
      <w:proofErr w:type="spellEnd"/>
      <w:r w:rsidRPr="00FC2077">
        <w:t xml:space="preserve"> J., </w:t>
      </w:r>
      <w:proofErr w:type="spellStart"/>
      <w:r w:rsidRPr="00FC2077">
        <w:t>Spanoghe</w:t>
      </w:r>
      <w:proofErr w:type="spellEnd"/>
      <w:r w:rsidRPr="00FC2077">
        <w:t xml:space="preserve"> G., </w:t>
      </w:r>
      <w:proofErr w:type="spellStart"/>
      <w:r w:rsidRPr="00FC2077">
        <w:t>Buerms</w:t>
      </w:r>
      <w:proofErr w:type="spellEnd"/>
      <w:r w:rsidRPr="00FC2077">
        <w:t xml:space="preserve"> D., De </w:t>
      </w:r>
      <w:proofErr w:type="spellStart"/>
      <w:r w:rsidRPr="00FC2077">
        <w:t>Beukelaer</w:t>
      </w:r>
      <w:proofErr w:type="spellEnd"/>
      <w:r w:rsidRPr="00FC2077">
        <w:t xml:space="preserve"> J., De Regge N., </w:t>
      </w:r>
      <w:proofErr w:type="spellStart"/>
      <w:r w:rsidRPr="00FC2077">
        <w:t>Hessel</w:t>
      </w:r>
      <w:proofErr w:type="spellEnd"/>
      <w:r w:rsidRPr="00FC2077">
        <w:t xml:space="preserve"> K., </w:t>
      </w:r>
      <w:proofErr w:type="spellStart"/>
      <w:r w:rsidRPr="00FC2077">
        <w:t>Soors</w:t>
      </w:r>
      <w:proofErr w:type="spellEnd"/>
      <w:r w:rsidRPr="00FC2077">
        <w:t xml:space="preserve"> J., </w:t>
      </w:r>
      <w:proofErr w:type="spellStart"/>
      <w:r w:rsidRPr="00FC2077">
        <w:t>Terrie</w:t>
      </w:r>
      <w:proofErr w:type="spellEnd"/>
      <w:r w:rsidRPr="00FC2077">
        <w:t xml:space="preserve"> T., Van </w:t>
      </w:r>
      <w:proofErr w:type="spellStart"/>
      <w:r w:rsidRPr="00FC2077">
        <w:t>Lierop</w:t>
      </w:r>
      <w:proofErr w:type="spellEnd"/>
      <w:r w:rsidRPr="00FC2077">
        <w:t xml:space="preserve"> F. &amp; Van den Bergh E. (2017). MONEOS – Geïntegreerd datarapport INBO: Toestand </w:t>
      </w:r>
      <w:proofErr w:type="spellStart"/>
      <w:r w:rsidRPr="00FC2077">
        <w:t>Zeeschelde</w:t>
      </w:r>
      <w:proofErr w:type="spellEnd"/>
      <w:r w:rsidRPr="00FC2077">
        <w:t xml:space="preserve"> 2016: monitoringsoverzicht en 1ste </w:t>
      </w:r>
      <w:proofErr w:type="spellStart"/>
      <w:r w:rsidRPr="00FC2077">
        <w:t>lijnsrapportage</w:t>
      </w:r>
      <w:proofErr w:type="spellEnd"/>
      <w:r w:rsidRPr="00FC2077">
        <w:t xml:space="preserve"> Geomorfologie, diversiteit Habitats en diversiteit Soorten. Rapporten van het Instituut voor Natuur- en Bosonderzoek 2017 (37). Instituut voor Natuur- en Bosonderzoek, Brussel.</w:t>
      </w:r>
    </w:p>
    <w:p w:rsidR="00E076E1" w:rsidRPr="00F845A1" w:rsidRDefault="00F845A1" w:rsidP="00F845A1">
      <w:proofErr w:type="spellStart"/>
      <w:r w:rsidRPr="004904BE">
        <w:t>Verloove</w:t>
      </w:r>
      <w:proofErr w:type="spellEnd"/>
      <w:r w:rsidRPr="004904BE">
        <w:t xml:space="preserve"> F., </w:t>
      </w:r>
      <w:proofErr w:type="spellStart"/>
      <w:r w:rsidRPr="004904BE">
        <w:t>Zwaenepoel</w:t>
      </w:r>
      <w:proofErr w:type="spellEnd"/>
      <w:r w:rsidRPr="004904BE">
        <w:t xml:space="preserve"> A.</w:t>
      </w:r>
      <w:r>
        <w:t xml:space="preserve"> &amp;</w:t>
      </w:r>
      <w:r w:rsidRPr="004904BE">
        <w:t xml:space="preserve"> </w:t>
      </w:r>
      <w:proofErr w:type="spellStart"/>
      <w:r w:rsidRPr="004904BE">
        <w:t>Piesschaert</w:t>
      </w:r>
      <w:proofErr w:type="spellEnd"/>
      <w:r w:rsidRPr="004904BE">
        <w:t xml:space="preserve"> F. (2004). Omtrent enkele recente vondsten van </w:t>
      </w:r>
      <w:proofErr w:type="spellStart"/>
      <w:r w:rsidRPr="0056179E">
        <w:rPr>
          <w:i/>
        </w:rPr>
        <w:t>Cotula</w:t>
      </w:r>
      <w:proofErr w:type="spellEnd"/>
      <w:r w:rsidRPr="0056179E">
        <w:rPr>
          <w:i/>
        </w:rPr>
        <w:t xml:space="preserve"> </w:t>
      </w:r>
      <w:proofErr w:type="spellStart"/>
      <w:r w:rsidRPr="0056179E">
        <w:rPr>
          <w:i/>
        </w:rPr>
        <w:t>coronopifolia</w:t>
      </w:r>
      <w:proofErr w:type="spellEnd"/>
      <w:r w:rsidRPr="004904BE">
        <w:t xml:space="preserve"> in België en aangrenzend Noord-Frankrijk. </w:t>
      </w:r>
      <w:proofErr w:type="spellStart"/>
      <w:r w:rsidRPr="004904BE">
        <w:t>Dumortiera</w:t>
      </w:r>
      <w:proofErr w:type="spellEnd"/>
      <w:r w:rsidRPr="004904BE">
        <w:t xml:space="preserve"> 83: 1-4.</w:t>
      </w:r>
    </w:p>
    <w:sectPr w:rsidR="00E076E1" w:rsidRPr="00F845A1" w:rsidSect="00E361AB">
      <w:headerReference w:type="even" r:id="rId18"/>
      <w:pgSz w:w="11906" w:h="16838" w:code="9"/>
      <w:pgMar w:top="1134" w:right="1701" w:bottom="1418" w:left="1701" w:header="113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79" w:rsidRDefault="00491779" w:rsidP="00C91635">
      <w:pPr>
        <w:spacing w:after="0"/>
      </w:pPr>
      <w:r>
        <w:separator/>
      </w:r>
    </w:p>
  </w:endnote>
  <w:endnote w:type="continuationSeparator" w:id="0">
    <w:p w:rsidR="00491779" w:rsidRDefault="00491779" w:rsidP="00C91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79" w:rsidRDefault="00491779" w:rsidP="00C91635">
      <w:pPr>
        <w:spacing w:after="0"/>
      </w:pPr>
      <w:r>
        <w:separator/>
      </w:r>
    </w:p>
  </w:footnote>
  <w:footnote w:type="continuationSeparator" w:id="0">
    <w:p w:rsidR="00491779" w:rsidRDefault="00491779" w:rsidP="00C916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3BA" w:rsidRDefault="006473B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53E03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EAFC1FEB"/>
    <w:multiLevelType w:val="multilevel"/>
    <w:tmpl w:val="2DFC8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7200936"/>
    <w:lvl w:ilvl="0">
      <w:start w:val="1"/>
      <w:numFmt w:val="decimal"/>
      <w:lvlText w:val="%1."/>
      <w:lvlJc w:val="left"/>
      <w:pPr>
        <w:tabs>
          <w:tab w:val="num" w:pos="1492"/>
        </w:tabs>
        <w:ind w:left="1492" w:hanging="360"/>
      </w:pPr>
    </w:lvl>
  </w:abstractNum>
  <w:abstractNum w:abstractNumId="3">
    <w:nsid w:val="FFFFFF7D"/>
    <w:multiLevelType w:val="singleLevel"/>
    <w:tmpl w:val="47029DD4"/>
    <w:lvl w:ilvl="0">
      <w:start w:val="1"/>
      <w:numFmt w:val="decimal"/>
      <w:lvlText w:val="%1."/>
      <w:lvlJc w:val="left"/>
      <w:pPr>
        <w:tabs>
          <w:tab w:val="num" w:pos="1209"/>
        </w:tabs>
        <w:ind w:left="1209" w:hanging="360"/>
      </w:pPr>
    </w:lvl>
  </w:abstractNum>
  <w:abstractNum w:abstractNumId="4">
    <w:nsid w:val="FFFFFF7E"/>
    <w:multiLevelType w:val="singleLevel"/>
    <w:tmpl w:val="69320D86"/>
    <w:lvl w:ilvl="0">
      <w:start w:val="1"/>
      <w:numFmt w:val="decimal"/>
      <w:lvlText w:val="%1."/>
      <w:lvlJc w:val="left"/>
      <w:pPr>
        <w:tabs>
          <w:tab w:val="num" w:pos="926"/>
        </w:tabs>
        <w:ind w:left="926" w:hanging="360"/>
      </w:pPr>
    </w:lvl>
  </w:abstractNum>
  <w:abstractNum w:abstractNumId="5">
    <w:nsid w:val="FFFFFF7F"/>
    <w:multiLevelType w:val="singleLevel"/>
    <w:tmpl w:val="55AAF6CC"/>
    <w:lvl w:ilvl="0">
      <w:start w:val="1"/>
      <w:numFmt w:val="decimal"/>
      <w:lvlText w:val="%1."/>
      <w:lvlJc w:val="left"/>
      <w:pPr>
        <w:tabs>
          <w:tab w:val="num" w:pos="643"/>
        </w:tabs>
        <w:ind w:left="643" w:hanging="360"/>
      </w:pPr>
    </w:lvl>
  </w:abstractNum>
  <w:abstractNum w:abstractNumId="6">
    <w:nsid w:val="FFFFFF80"/>
    <w:multiLevelType w:val="singleLevel"/>
    <w:tmpl w:val="B2E6BA8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F78528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3F6114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4194199A"/>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5CE1622"/>
    <w:lvl w:ilvl="0">
      <w:start w:val="1"/>
      <w:numFmt w:val="decimal"/>
      <w:lvlText w:val="%1."/>
      <w:lvlJc w:val="left"/>
      <w:pPr>
        <w:tabs>
          <w:tab w:val="num" w:pos="360"/>
        </w:tabs>
        <w:ind w:left="360" w:hanging="360"/>
      </w:pPr>
    </w:lvl>
  </w:abstractNum>
  <w:abstractNum w:abstractNumId="11">
    <w:nsid w:val="FFFFFF89"/>
    <w:multiLevelType w:val="singleLevel"/>
    <w:tmpl w:val="9488A132"/>
    <w:lvl w:ilvl="0">
      <w:start w:val="1"/>
      <w:numFmt w:val="bullet"/>
      <w:lvlText w:val=""/>
      <w:lvlJc w:val="left"/>
      <w:pPr>
        <w:tabs>
          <w:tab w:val="num" w:pos="360"/>
        </w:tabs>
        <w:ind w:left="360" w:hanging="360"/>
      </w:pPr>
      <w:rPr>
        <w:rFonts w:ascii="Symbol" w:hAnsi="Symbol" w:hint="default"/>
      </w:rPr>
    </w:lvl>
  </w:abstractNum>
  <w:abstractNum w:abstractNumId="12">
    <w:nsid w:val="037B4010"/>
    <w:multiLevelType w:val="hybridMultilevel"/>
    <w:tmpl w:val="A9C2EF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0C22258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4A0B39CF"/>
    <w:multiLevelType w:val="multilevel"/>
    <w:tmpl w:val="71809ECE"/>
    <w:lvl w:ilvl="0">
      <w:start w:val="1"/>
      <w:numFmt w:val="bullet"/>
      <w:lvlText w:val=""/>
      <w:lvlJc w:val="left"/>
      <w:pPr>
        <w:tabs>
          <w:tab w:val="num" w:pos="720"/>
        </w:tabs>
        <w:ind w:left="720" w:hanging="363"/>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474"/>
        </w:tabs>
        <w:ind w:left="1474" w:hanging="397"/>
      </w:pPr>
      <w:rPr>
        <w:rFonts w:ascii="Wingdings 3" w:hAnsi="Wingdings 3" w:hint="default"/>
      </w:rPr>
    </w:lvl>
    <w:lvl w:ilvl="3">
      <w:start w:val="1"/>
      <w:numFmt w:val="bullet"/>
      <w:lvlText w:val="˃"/>
      <w:lvlJc w:val="left"/>
      <w:pPr>
        <w:tabs>
          <w:tab w:val="num" w:pos="1877"/>
        </w:tabs>
        <w:ind w:left="1877" w:hanging="403"/>
      </w:pPr>
      <w:rPr>
        <w:rFonts w:ascii="Calibri" w:hAnsi="Calibri" w:hint="default"/>
      </w:rPr>
    </w:lvl>
    <w:lvl w:ilvl="4">
      <w:start w:val="1"/>
      <w:numFmt w:val="bullet"/>
      <w:lvlText w:val=""/>
      <w:lvlJc w:val="left"/>
      <w:pPr>
        <w:tabs>
          <w:tab w:val="num" w:pos="2268"/>
        </w:tabs>
        <w:ind w:left="2268" w:hanging="391"/>
      </w:pPr>
      <w:rPr>
        <w:rFonts w:ascii="Symbol" w:hAnsi="Symbol" w:hint="default"/>
      </w:rPr>
    </w:lvl>
    <w:lvl w:ilvl="5">
      <w:start w:val="1"/>
      <w:numFmt w:val="bullet"/>
      <w:lvlText w:val=""/>
      <w:lvlJc w:val="left"/>
      <w:pPr>
        <w:tabs>
          <w:tab w:val="num" w:pos="2608"/>
        </w:tabs>
        <w:ind w:left="2608" w:hanging="340"/>
      </w:pPr>
      <w:rPr>
        <w:rFonts w:ascii="Wingdings" w:hAnsi="Wingdings" w:hint="default"/>
      </w:rPr>
    </w:lvl>
    <w:lvl w:ilvl="6">
      <w:start w:val="1"/>
      <w:numFmt w:val="bullet"/>
      <w:lvlText w:val=""/>
      <w:lvlJc w:val="left"/>
      <w:pPr>
        <w:tabs>
          <w:tab w:val="num" w:pos="3005"/>
        </w:tabs>
        <w:ind w:left="3005" w:hanging="397"/>
      </w:pPr>
      <w:rPr>
        <w:rFonts w:ascii="Wingdings" w:hAnsi="Wingdings" w:hint="default"/>
      </w:rPr>
    </w:lvl>
    <w:lvl w:ilvl="7">
      <w:start w:val="1"/>
      <w:numFmt w:val="bullet"/>
      <w:lvlText w:val=""/>
      <w:lvlJc w:val="left"/>
      <w:pPr>
        <w:tabs>
          <w:tab w:val="num" w:pos="3289"/>
        </w:tabs>
        <w:ind w:left="3289" w:hanging="284"/>
      </w:pPr>
      <w:rPr>
        <w:rFonts w:ascii="Symbol" w:hAnsi="Symbol" w:hint="default"/>
      </w:rPr>
    </w:lvl>
    <w:lvl w:ilvl="8">
      <w:start w:val="1"/>
      <w:numFmt w:val="bullet"/>
      <w:lvlText w:val=""/>
      <w:lvlJc w:val="left"/>
      <w:pPr>
        <w:tabs>
          <w:tab w:val="num" w:pos="3629"/>
        </w:tabs>
        <w:ind w:left="3629" w:hanging="340"/>
      </w:pPr>
      <w:rPr>
        <w:rFonts w:ascii="Symbol" w:hAnsi="Symbol" w:hint="default"/>
      </w:rPr>
    </w:lvl>
  </w:abstractNum>
  <w:abstractNum w:abstractNumId="2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1">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9"/>
  </w:num>
  <w:num w:numId="12">
    <w:abstractNumId w:val="13"/>
  </w:num>
  <w:num w:numId="13">
    <w:abstractNumId w:val="0"/>
  </w:num>
  <w:num w:numId="14">
    <w:abstractNumId w:val="17"/>
  </w:num>
  <w:num w:numId="15">
    <w:abstractNumId w:val="21"/>
  </w:num>
  <w:num w:numId="16">
    <w:abstractNumId w:val="18"/>
  </w:num>
  <w:num w:numId="17">
    <w:abstractNumId w:val="20"/>
  </w:num>
  <w:num w:numId="18">
    <w:abstractNumId w:val="12"/>
  </w:num>
  <w:num w:numId="19">
    <w:abstractNumId w:val="1"/>
  </w:num>
  <w:num w:numId="20">
    <w:abstractNumId w:val="14"/>
  </w:num>
  <w:num w:numId="21">
    <w:abstractNumId w:val="15"/>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40B"/>
    <w:rsid w:val="000035AD"/>
    <w:rsid w:val="00012CE0"/>
    <w:rsid w:val="000203F0"/>
    <w:rsid w:val="000418FE"/>
    <w:rsid w:val="00072C01"/>
    <w:rsid w:val="00082C33"/>
    <w:rsid w:val="0008350C"/>
    <w:rsid w:val="00096CBB"/>
    <w:rsid w:val="000C40BD"/>
    <w:rsid w:val="000E7477"/>
    <w:rsid w:val="000F274C"/>
    <w:rsid w:val="000F6DCE"/>
    <w:rsid w:val="00111797"/>
    <w:rsid w:val="00112B76"/>
    <w:rsid w:val="001238C0"/>
    <w:rsid w:val="001459A2"/>
    <w:rsid w:val="00155E5E"/>
    <w:rsid w:val="00174C1D"/>
    <w:rsid w:val="0018357B"/>
    <w:rsid w:val="00185553"/>
    <w:rsid w:val="001B74B3"/>
    <w:rsid w:val="001D7BC7"/>
    <w:rsid w:val="00213A97"/>
    <w:rsid w:val="00220619"/>
    <w:rsid w:val="002230A3"/>
    <w:rsid w:val="0023412E"/>
    <w:rsid w:val="0024376A"/>
    <w:rsid w:val="00247DA8"/>
    <w:rsid w:val="00254367"/>
    <w:rsid w:val="0026384C"/>
    <w:rsid w:val="00263DD1"/>
    <w:rsid w:val="00281720"/>
    <w:rsid w:val="00295F9E"/>
    <w:rsid w:val="002A383C"/>
    <w:rsid w:val="002C256C"/>
    <w:rsid w:val="002E5657"/>
    <w:rsid w:val="00303105"/>
    <w:rsid w:val="0032438C"/>
    <w:rsid w:val="00331B5A"/>
    <w:rsid w:val="00360444"/>
    <w:rsid w:val="0036251B"/>
    <w:rsid w:val="00383D56"/>
    <w:rsid w:val="00393FE5"/>
    <w:rsid w:val="003A066D"/>
    <w:rsid w:val="003D19D8"/>
    <w:rsid w:val="003D2545"/>
    <w:rsid w:val="003D2A52"/>
    <w:rsid w:val="003D4BE7"/>
    <w:rsid w:val="003E4A97"/>
    <w:rsid w:val="003F0A80"/>
    <w:rsid w:val="00403FF0"/>
    <w:rsid w:val="00444EF1"/>
    <w:rsid w:val="0046776F"/>
    <w:rsid w:val="00477E71"/>
    <w:rsid w:val="00483B59"/>
    <w:rsid w:val="00483EAE"/>
    <w:rsid w:val="00491779"/>
    <w:rsid w:val="004947C9"/>
    <w:rsid w:val="004C3F7E"/>
    <w:rsid w:val="004E7ADF"/>
    <w:rsid w:val="004F4AF6"/>
    <w:rsid w:val="0056179E"/>
    <w:rsid w:val="00563A45"/>
    <w:rsid w:val="005A6890"/>
    <w:rsid w:val="005C7F4A"/>
    <w:rsid w:val="005D0ABB"/>
    <w:rsid w:val="00600517"/>
    <w:rsid w:val="00606F14"/>
    <w:rsid w:val="00612443"/>
    <w:rsid w:val="00616C49"/>
    <w:rsid w:val="00616D90"/>
    <w:rsid w:val="00622E05"/>
    <w:rsid w:val="0062524E"/>
    <w:rsid w:val="006257DE"/>
    <w:rsid w:val="006473BA"/>
    <w:rsid w:val="006A340D"/>
    <w:rsid w:val="006B2286"/>
    <w:rsid w:val="006D53D9"/>
    <w:rsid w:val="006E02FE"/>
    <w:rsid w:val="00707C77"/>
    <w:rsid w:val="00711244"/>
    <w:rsid w:val="0072097D"/>
    <w:rsid w:val="007271EC"/>
    <w:rsid w:val="00751C45"/>
    <w:rsid w:val="007535E3"/>
    <w:rsid w:val="00757DE8"/>
    <w:rsid w:val="00761ADC"/>
    <w:rsid w:val="0076382E"/>
    <w:rsid w:val="00771A88"/>
    <w:rsid w:val="00777876"/>
    <w:rsid w:val="00780BDE"/>
    <w:rsid w:val="00785FC0"/>
    <w:rsid w:val="007D6977"/>
    <w:rsid w:val="007F44EE"/>
    <w:rsid w:val="00805ECF"/>
    <w:rsid w:val="00854991"/>
    <w:rsid w:val="00881679"/>
    <w:rsid w:val="008876A9"/>
    <w:rsid w:val="00893645"/>
    <w:rsid w:val="008A0AFC"/>
    <w:rsid w:val="008A5E95"/>
    <w:rsid w:val="008A7102"/>
    <w:rsid w:val="008E0DBF"/>
    <w:rsid w:val="008E1480"/>
    <w:rsid w:val="008E740B"/>
    <w:rsid w:val="00903DC8"/>
    <w:rsid w:val="00906836"/>
    <w:rsid w:val="009314EB"/>
    <w:rsid w:val="009324F3"/>
    <w:rsid w:val="00937702"/>
    <w:rsid w:val="00937CB9"/>
    <w:rsid w:val="00944882"/>
    <w:rsid w:val="00962F59"/>
    <w:rsid w:val="00973B05"/>
    <w:rsid w:val="00A05B4D"/>
    <w:rsid w:val="00A07BA5"/>
    <w:rsid w:val="00A42424"/>
    <w:rsid w:val="00A42673"/>
    <w:rsid w:val="00A536F3"/>
    <w:rsid w:val="00A724AE"/>
    <w:rsid w:val="00A80723"/>
    <w:rsid w:val="00AA2A87"/>
    <w:rsid w:val="00AA766B"/>
    <w:rsid w:val="00AB0E4C"/>
    <w:rsid w:val="00AB4A27"/>
    <w:rsid w:val="00AE16D2"/>
    <w:rsid w:val="00AE2658"/>
    <w:rsid w:val="00B078A6"/>
    <w:rsid w:val="00B34AB9"/>
    <w:rsid w:val="00B4186F"/>
    <w:rsid w:val="00BB28BC"/>
    <w:rsid w:val="00C06BBA"/>
    <w:rsid w:val="00C14217"/>
    <w:rsid w:val="00C20FBA"/>
    <w:rsid w:val="00C25F20"/>
    <w:rsid w:val="00C376E7"/>
    <w:rsid w:val="00C43209"/>
    <w:rsid w:val="00C5615C"/>
    <w:rsid w:val="00C64DFD"/>
    <w:rsid w:val="00C6625B"/>
    <w:rsid w:val="00C72DDD"/>
    <w:rsid w:val="00C8734B"/>
    <w:rsid w:val="00C91635"/>
    <w:rsid w:val="00CD350C"/>
    <w:rsid w:val="00CE35CA"/>
    <w:rsid w:val="00CE65EF"/>
    <w:rsid w:val="00D070D0"/>
    <w:rsid w:val="00D108C9"/>
    <w:rsid w:val="00D1192E"/>
    <w:rsid w:val="00D23B75"/>
    <w:rsid w:val="00D2464A"/>
    <w:rsid w:val="00D32A4B"/>
    <w:rsid w:val="00D44AF8"/>
    <w:rsid w:val="00D63307"/>
    <w:rsid w:val="00D805A5"/>
    <w:rsid w:val="00D81FAB"/>
    <w:rsid w:val="00DB000D"/>
    <w:rsid w:val="00DB2698"/>
    <w:rsid w:val="00DC1140"/>
    <w:rsid w:val="00DE1CF0"/>
    <w:rsid w:val="00DF79BD"/>
    <w:rsid w:val="00E06B55"/>
    <w:rsid w:val="00E076E1"/>
    <w:rsid w:val="00E361AB"/>
    <w:rsid w:val="00E52BFE"/>
    <w:rsid w:val="00E53B49"/>
    <w:rsid w:val="00E668A2"/>
    <w:rsid w:val="00EC283A"/>
    <w:rsid w:val="00F0335F"/>
    <w:rsid w:val="00F06DBA"/>
    <w:rsid w:val="00F07EA3"/>
    <w:rsid w:val="00F11E77"/>
    <w:rsid w:val="00F12683"/>
    <w:rsid w:val="00F238C1"/>
    <w:rsid w:val="00F52415"/>
    <w:rsid w:val="00F5551B"/>
    <w:rsid w:val="00F637D3"/>
    <w:rsid w:val="00F845A1"/>
    <w:rsid w:val="00F93F55"/>
    <w:rsid w:val="00F97D98"/>
    <w:rsid w:val="00FA2E2A"/>
    <w:rsid w:val="00FB10BA"/>
    <w:rsid w:val="00FC017A"/>
    <w:rsid w:val="00FE7D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6890"/>
    <w:pPr>
      <w:tabs>
        <w:tab w:val="left" w:pos="3686"/>
      </w:tabs>
      <w:spacing w:after="180" w:line="240" w:lineRule="auto"/>
    </w:pPr>
    <w:rPr>
      <w:rFonts w:ascii="Calibri" w:hAnsi="Calibri"/>
      <w:color w:val="000000"/>
    </w:rPr>
  </w:style>
  <w:style w:type="paragraph" w:styleId="Kop1">
    <w:name w:val="heading 1"/>
    <w:basedOn w:val="Standaard"/>
    <w:next w:val="Standaard"/>
    <w:link w:val="Kop1Char"/>
    <w:uiPriority w:val="9"/>
    <w:qFormat/>
    <w:rsid w:val="00AA766B"/>
    <w:pPr>
      <w:keepNext/>
      <w:keepLines/>
      <w:pageBreakBefore/>
      <w:numPr>
        <w:numId w:val="12"/>
      </w:numPr>
      <w:spacing w:before="480" w:after="480"/>
      <w:ind w:left="454" w:hanging="454"/>
      <w:contextualSpacing/>
      <w:outlineLvl w:val="0"/>
    </w:pPr>
    <w:rPr>
      <w:rFonts w:eastAsiaTheme="majorEastAsia" w:cstheme="majorBidi"/>
      <w:b/>
      <w:bCs/>
      <w:caps/>
      <w:color w:val="C04384"/>
      <w:sz w:val="36"/>
      <w:szCs w:val="28"/>
    </w:rPr>
  </w:style>
  <w:style w:type="paragraph" w:styleId="Kop2">
    <w:name w:val="heading 2"/>
    <w:basedOn w:val="Standaard"/>
    <w:next w:val="Standaard"/>
    <w:link w:val="Kop2Char"/>
    <w:uiPriority w:val="9"/>
    <w:unhideWhenUsed/>
    <w:qFormat/>
    <w:rsid w:val="00AA766B"/>
    <w:pPr>
      <w:keepNext/>
      <w:keepLines/>
      <w:numPr>
        <w:ilvl w:val="1"/>
        <w:numId w:val="12"/>
      </w:numPr>
      <w:spacing w:before="200" w:after="240"/>
      <w:ind w:left="851" w:hanging="851"/>
      <w:contextualSpacing/>
      <w:outlineLvl w:val="1"/>
    </w:pPr>
    <w:rPr>
      <w:rFonts w:eastAsiaTheme="majorEastAsia" w:cstheme="majorBidi"/>
      <w:bCs/>
      <w:caps/>
      <w:color w:val="C04384"/>
      <w:sz w:val="32"/>
      <w:szCs w:val="26"/>
      <w:u w:val="dottedHeavy" w:color="C04384"/>
    </w:rPr>
  </w:style>
  <w:style w:type="paragraph" w:styleId="Kop3">
    <w:name w:val="heading 3"/>
    <w:basedOn w:val="Standaard"/>
    <w:next w:val="Standaard"/>
    <w:link w:val="Kop3Char"/>
    <w:uiPriority w:val="9"/>
    <w:unhideWhenUsed/>
    <w:qFormat/>
    <w:rsid w:val="00AA766B"/>
    <w:pPr>
      <w:keepNext/>
      <w:keepLines/>
      <w:numPr>
        <w:ilvl w:val="2"/>
        <w:numId w:val="12"/>
      </w:numPr>
      <w:spacing w:before="200" w:after="120"/>
      <w:ind w:left="964" w:hanging="964"/>
      <w:contextualSpacing/>
      <w:outlineLvl w:val="2"/>
    </w:pPr>
    <w:rPr>
      <w:rFonts w:eastAsiaTheme="majorEastAsia" w:cstheme="majorBidi"/>
      <w:b/>
      <w:bCs/>
      <w:color w:val="C04384"/>
      <w:sz w:val="24"/>
    </w:rPr>
  </w:style>
  <w:style w:type="paragraph" w:styleId="Kop4">
    <w:name w:val="heading 4"/>
    <w:basedOn w:val="Standaard"/>
    <w:next w:val="Standaard"/>
    <w:link w:val="Kop4Char"/>
    <w:uiPriority w:val="9"/>
    <w:unhideWhenUsed/>
    <w:qFormat/>
    <w:rsid w:val="00AA766B"/>
    <w:pPr>
      <w:keepNext/>
      <w:keepLines/>
      <w:numPr>
        <w:ilvl w:val="3"/>
        <w:numId w:val="12"/>
      </w:numPr>
      <w:spacing w:before="200"/>
      <w:ind w:left="1077" w:hanging="1077"/>
      <w:contextualSpacing/>
      <w:outlineLvl w:val="3"/>
    </w:pPr>
    <w:rPr>
      <w:rFonts w:eastAsiaTheme="majorEastAsia" w:cstheme="majorBidi"/>
      <w:b/>
      <w:bCs/>
      <w:iCs/>
      <w:color w:val="C04384"/>
      <w:u w:val="single" w:color="C04384"/>
    </w:rPr>
  </w:style>
  <w:style w:type="paragraph" w:styleId="Kop5">
    <w:name w:val="heading 5"/>
    <w:basedOn w:val="Standaard"/>
    <w:next w:val="Standaard"/>
    <w:link w:val="Kop5Char"/>
    <w:uiPriority w:val="9"/>
    <w:unhideWhenUsed/>
    <w:qFormat/>
    <w:rsid w:val="00AA766B"/>
    <w:pPr>
      <w:keepNext/>
      <w:keepLines/>
      <w:numPr>
        <w:ilvl w:val="4"/>
        <w:numId w:val="12"/>
      </w:numPr>
      <w:spacing w:before="200"/>
      <w:ind w:left="1247" w:hanging="1247"/>
      <w:contextualSpacing/>
      <w:outlineLvl w:val="4"/>
    </w:pPr>
    <w:rPr>
      <w:rFonts w:eastAsiaTheme="majorEastAsia" w:cstheme="majorBidi"/>
      <w:color w:val="C04384"/>
    </w:rPr>
  </w:style>
  <w:style w:type="paragraph" w:styleId="Kop6">
    <w:name w:val="heading 6"/>
    <w:basedOn w:val="Standaard"/>
    <w:next w:val="Standaard"/>
    <w:link w:val="Kop6Char"/>
    <w:uiPriority w:val="9"/>
    <w:unhideWhenUsed/>
    <w:qFormat/>
    <w:rsid w:val="00AA766B"/>
    <w:pPr>
      <w:keepNext/>
      <w:keepLines/>
      <w:numPr>
        <w:ilvl w:val="5"/>
        <w:numId w:val="12"/>
      </w:numPr>
      <w:spacing w:before="200"/>
      <w:ind w:left="1361" w:hanging="1361"/>
      <w:contextualSpacing/>
      <w:outlineLvl w:val="5"/>
    </w:pPr>
    <w:rPr>
      <w:rFonts w:eastAsiaTheme="majorEastAsia" w:cstheme="majorBidi"/>
      <w:iCs/>
      <w:color w:val="C04384"/>
    </w:rPr>
  </w:style>
  <w:style w:type="paragraph" w:styleId="Kop7">
    <w:name w:val="heading 7"/>
    <w:basedOn w:val="Standaard"/>
    <w:next w:val="Standaard"/>
    <w:link w:val="Kop7Char"/>
    <w:uiPriority w:val="9"/>
    <w:unhideWhenUsed/>
    <w:qFormat/>
    <w:rsid w:val="00AA766B"/>
    <w:pPr>
      <w:keepNext/>
      <w:keepLines/>
      <w:numPr>
        <w:ilvl w:val="6"/>
        <w:numId w:val="12"/>
      </w:numPr>
      <w:spacing w:before="200"/>
      <w:ind w:left="1531" w:hanging="1531"/>
      <w:contextualSpacing/>
      <w:outlineLvl w:val="6"/>
    </w:pPr>
    <w:rPr>
      <w:rFonts w:eastAsiaTheme="majorEastAsia" w:cstheme="majorBidi"/>
      <w:iCs/>
      <w:color w:val="C04384"/>
    </w:rPr>
  </w:style>
  <w:style w:type="paragraph" w:styleId="Kop8">
    <w:name w:val="heading 8"/>
    <w:basedOn w:val="Standaard"/>
    <w:next w:val="Standaard"/>
    <w:link w:val="Kop8Char"/>
    <w:uiPriority w:val="9"/>
    <w:semiHidden/>
    <w:unhideWhenUsed/>
    <w:qFormat/>
    <w:rsid w:val="0023412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3412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766B"/>
    <w:rPr>
      <w:rFonts w:ascii="Calibri" w:eastAsiaTheme="majorEastAsia" w:hAnsi="Calibri" w:cstheme="majorBidi"/>
      <w:b/>
      <w:bCs/>
      <w:caps/>
      <w:color w:val="C04384"/>
      <w:sz w:val="36"/>
      <w:szCs w:val="28"/>
    </w:rPr>
  </w:style>
  <w:style w:type="character" w:customStyle="1" w:styleId="Kop2Char">
    <w:name w:val="Kop 2 Char"/>
    <w:basedOn w:val="Standaardalinea-lettertype"/>
    <w:link w:val="Kop2"/>
    <w:uiPriority w:val="9"/>
    <w:rsid w:val="00AA766B"/>
    <w:rPr>
      <w:rFonts w:ascii="Calibri" w:eastAsiaTheme="majorEastAsia" w:hAnsi="Calibri" w:cstheme="majorBidi"/>
      <w:bCs/>
      <w:caps/>
      <w:color w:val="C04384"/>
      <w:sz w:val="32"/>
      <w:szCs w:val="26"/>
      <w:u w:val="dottedHeavy" w:color="C04384"/>
    </w:rPr>
  </w:style>
  <w:style w:type="character" w:customStyle="1" w:styleId="Kop3Char">
    <w:name w:val="Kop 3 Char"/>
    <w:basedOn w:val="Standaardalinea-lettertype"/>
    <w:link w:val="Kop3"/>
    <w:uiPriority w:val="9"/>
    <w:rsid w:val="00AA766B"/>
    <w:rPr>
      <w:rFonts w:ascii="Calibri" w:eastAsiaTheme="majorEastAsia" w:hAnsi="Calibri" w:cstheme="majorBidi"/>
      <w:b/>
      <w:bCs/>
      <w:color w:val="C04384"/>
      <w:sz w:val="24"/>
    </w:rPr>
  </w:style>
  <w:style w:type="character" w:customStyle="1" w:styleId="Kop4Char">
    <w:name w:val="Kop 4 Char"/>
    <w:basedOn w:val="Standaardalinea-lettertype"/>
    <w:link w:val="Kop4"/>
    <w:uiPriority w:val="9"/>
    <w:rsid w:val="00AA766B"/>
    <w:rPr>
      <w:rFonts w:ascii="Calibri" w:eastAsiaTheme="majorEastAsia" w:hAnsi="Calibri" w:cstheme="majorBidi"/>
      <w:b/>
      <w:bCs/>
      <w:iCs/>
      <w:color w:val="C04384"/>
      <w:u w:val="single" w:color="C04384"/>
    </w:rPr>
  </w:style>
  <w:style w:type="character" w:customStyle="1" w:styleId="Kop5Char">
    <w:name w:val="Kop 5 Char"/>
    <w:basedOn w:val="Standaardalinea-lettertype"/>
    <w:link w:val="Kop5"/>
    <w:uiPriority w:val="9"/>
    <w:rsid w:val="00AA766B"/>
    <w:rPr>
      <w:rFonts w:ascii="Calibri" w:eastAsiaTheme="majorEastAsia" w:hAnsi="Calibri" w:cstheme="majorBidi"/>
      <w:color w:val="C04384"/>
    </w:rPr>
  </w:style>
  <w:style w:type="character" w:customStyle="1" w:styleId="Kop6Char">
    <w:name w:val="Kop 6 Char"/>
    <w:basedOn w:val="Standaardalinea-lettertype"/>
    <w:link w:val="Kop6"/>
    <w:uiPriority w:val="9"/>
    <w:rsid w:val="00AA766B"/>
    <w:rPr>
      <w:rFonts w:ascii="Calibri" w:eastAsiaTheme="majorEastAsia" w:hAnsi="Calibri" w:cstheme="majorBidi"/>
      <w:iCs/>
      <w:color w:val="C04384"/>
    </w:rPr>
  </w:style>
  <w:style w:type="character" w:customStyle="1" w:styleId="Kop7Char">
    <w:name w:val="Kop 7 Char"/>
    <w:basedOn w:val="Standaardalinea-lettertype"/>
    <w:link w:val="Kop7"/>
    <w:uiPriority w:val="9"/>
    <w:rsid w:val="00AA766B"/>
    <w:rPr>
      <w:rFonts w:ascii="Calibri" w:eastAsiaTheme="majorEastAsia" w:hAnsi="Calibri" w:cstheme="majorBidi"/>
      <w:iCs/>
      <w:color w:val="C04384"/>
    </w:rPr>
  </w:style>
  <w:style w:type="character" w:customStyle="1" w:styleId="Kop8Char">
    <w:name w:val="Kop 8 Char"/>
    <w:basedOn w:val="Standaardalinea-lettertype"/>
    <w:link w:val="Kop8"/>
    <w:uiPriority w:val="9"/>
    <w:semiHidden/>
    <w:rsid w:val="0023412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3412E"/>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AB0E4C"/>
    <w:pPr>
      <w:tabs>
        <w:tab w:val="center" w:pos="4536"/>
        <w:tab w:val="right" w:pos="9072"/>
      </w:tabs>
    </w:pPr>
    <w:rPr>
      <w:color w:val="C04384"/>
      <w:sz w:val="16"/>
    </w:rPr>
  </w:style>
  <w:style w:type="character" w:customStyle="1" w:styleId="VoettekstChar">
    <w:name w:val="Voettekst Char"/>
    <w:basedOn w:val="Standaardalinea-lettertype"/>
    <w:link w:val="Voettekst"/>
    <w:uiPriority w:val="99"/>
    <w:rsid w:val="00AB0E4C"/>
    <w:rPr>
      <w:rFonts w:ascii="Calibri" w:hAnsi="Calibri"/>
      <w:color w:val="C04384"/>
      <w:sz w:val="16"/>
    </w:rPr>
  </w:style>
  <w:style w:type="paragraph" w:styleId="Titel">
    <w:name w:val="Title"/>
    <w:basedOn w:val="Standaard"/>
    <w:next w:val="Standaard"/>
    <w:link w:val="TitelChar"/>
    <w:uiPriority w:val="10"/>
    <w:qFormat/>
    <w:rsid w:val="00903DC8"/>
    <w:pPr>
      <w:framePr w:wrap="notBeside" w:vAnchor="text" w:hAnchor="text" w:y="1"/>
      <w:spacing w:before="420" w:after="520"/>
      <w:ind w:left="567"/>
      <w:contextualSpacing/>
    </w:pPr>
    <w:rPr>
      <w:rFonts w:eastAsiaTheme="majorEastAsia" w:cstheme="majorBidi"/>
      <w:caps/>
      <w:color w:val="C04384"/>
      <w:sz w:val="40"/>
      <w:szCs w:val="52"/>
      <w:u w:val="single"/>
    </w:rPr>
  </w:style>
  <w:style w:type="character" w:customStyle="1" w:styleId="TitelChar">
    <w:name w:val="Titel Char"/>
    <w:basedOn w:val="Standaardalinea-lettertype"/>
    <w:link w:val="Titel"/>
    <w:uiPriority w:val="10"/>
    <w:rsid w:val="00903DC8"/>
    <w:rPr>
      <w:rFonts w:ascii="Calibri" w:eastAsiaTheme="majorEastAsia" w:hAnsi="Calibri" w:cstheme="majorBidi"/>
      <w:caps/>
      <w:color w:val="C04384"/>
      <w:sz w:val="40"/>
      <w:szCs w:val="52"/>
      <w:u w:val="single"/>
    </w:rPr>
  </w:style>
  <w:style w:type="paragraph" w:styleId="Ondertitel">
    <w:name w:val="Subtitle"/>
    <w:basedOn w:val="Standaard"/>
    <w:next w:val="Standaard"/>
    <w:link w:val="OndertitelChar"/>
    <w:uiPriority w:val="11"/>
    <w:qFormat/>
    <w:rsid w:val="00622E05"/>
    <w:pPr>
      <w:numPr>
        <w:ilvl w:val="1"/>
      </w:numPr>
      <w:ind w:left="567"/>
      <w:contextualSpacing/>
    </w:pPr>
    <w:rPr>
      <w:rFonts w:eastAsiaTheme="majorEastAsia" w:cstheme="majorBidi"/>
      <w:b/>
      <w:iCs/>
      <w:color w:val="C04384"/>
      <w:sz w:val="36"/>
      <w:szCs w:val="24"/>
    </w:rPr>
  </w:style>
  <w:style w:type="character" w:customStyle="1" w:styleId="OndertitelChar">
    <w:name w:val="Ondertitel Char"/>
    <w:basedOn w:val="Standaardalinea-lettertype"/>
    <w:link w:val="Ondertitel"/>
    <w:uiPriority w:val="11"/>
    <w:rsid w:val="00622E05"/>
    <w:rPr>
      <w:rFonts w:ascii="Calibri" w:eastAsiaTheme="majorEastAsia" w:hAnsi="Calibri" w:cstheme="majorBidi"/>
      <w:b/>
      <w:iCs/>
      <w:color w:val="C04384"/>
      <w:sz w:val="36"/>
      <w:szCs w:val="24"/>
    </w:rPr>
  </w:style>
  <w:style w:type="paragraph" w:customStyle="1" w:styleId="Auteurs">
    <w:name w:val="Auteurs"/>
    <w:basedOn w:val="Standaard"/>
    <w:next w:val="Standaard"/>
    <w:qFormat/>
    <w:rsid w:val="005A6890"/>
    <w:pPr>
      <w:spacing w:before="240" w:after="2880"/>
      <w:ind w:left="567"/>
    </w:pPr>
    <w:rPr>
      <w:b/>
      <w:color w:val="C04384"/>
      <w:sz w:val="24"/>
    </w:rPr>
  </w:style>
  <w:style w:type="paragraph" w:customStyle="1" w:styleId="DOInr">
    <w:name w:val="DOInr"/>
    <w:basedOn w:val="Standaard"/>
    <w:next w:val="Standaard"/>
    <w:qFormat/>
    <w:rsid w:val="005A6890"/>
    <w:pPr>
      <w:spacing w:after="0"/>
      <w:ind w:left="567"/>
    </w:pPr>
    <w:rPr>
      <w:color w:val="C04384"/>
    </w:rPr>
  </w:style>
  <w:style w:type="paragraph" w:customStyle="1" w:styleId="Opdrachtnr">
    <w:name w:val="Opdrachtnr"/>
    <w:basedOn w:val="Standaard"/>
    <w:next w:val="Standaard"/>
    <w:qFormat/>
    <w:rsid w:val="005A6890"/>
    <w:pPr>
      <w:spacing w:after="0"/>
      <w:ind w:left="567"/>
    </w:pPr>
    <w:rPr>
      <w:color w:val="C04384"/>
    </w:rPr>
  </w:style>
  <w:style w:type="paragraph" w:customStyle="1" w:styleId="Voortitel">
    <w:name w:val="Voortitel"/>
    <w:basedOn w:val="Standaard"/>
    <w:next w:val="Standaard"/>
    <w:qFormat/>
    <w:rsid w:val="00111797"/>
    <w:pPr>
      <w:spacing w:after="280"/>
    </w:pPr>
    <w:rPr>
      <w:b/>
      <w:color w:val="C04384"/>
      <w:sz w:val="28"/>
    </w:rPr>
  </w:style>
  <w:style w:type="paragraph" w:customStyle="1" w:styleId="Inhoudstafel">
    <w:name w:val="Inhoudstafel"/>
    <w:basedOn w:val="Standaard"/>
    <w:next w:val="Standaard"/>
    <w:qFormat/>
    <w:rsid w:val="00111797"/>
    <w:pPr>
      <w:spacing w:after="280"/>
    </w:pPr>
    <w:rPr>
      <w:b/>
      <w:color w:val="C04384"/>
      <w:sz w:val="28"/>
    </w:rPr>
  </w:style>
  <w:style w:type="paragraph" w:customStyle="1" w:styleId="VoettekstLiggend">
    <w:name w:val="Voettekst_Liggend"/>
    <w:basedOn w:val="Voettekst"/>
    <w:qFormat/>
    <w:rsid w:val="00906836"/>
    <w:pPr>
      <w:pBdr>
        <w:top w:val="single" w:sz="4" w:space="1" w:color="auto"/>
      </w:pBdr>
      <w:tabs>
        <w:tab w:val="clear" w:pos="3686"/>
        <w:tab w:val="clear" w:pos="4536"/>
        <w:tab w:val="clear" w:pos="9072"/>
        <w:tab w:val="center" w:pos="7088"/>
        <w:tab w:val="right" w:pos="14175"/>
      </w:tabs>
      <w:spacing w:before="80"/>
    </w:pPr>
  </w:style>
  <w:style w:type="paragraph" w:customStyle="1" w:styleId="Nestedlist">
    <w:name w:val="Nested_list"/>
    <w:basedOn w:val="Standaard"/>
    <w:qFormat/>
    <w:rsid w:val="00780BDE"/>
    <w:pPr>
      <w:tabs>
        <w:tab w:val="clear" w:pos="3686"/>
        <w:tab w:val="num" w:pos="720"/>
      </w:tabs>
      <w:ind w:left="720" w:hanging="363"/>
    </w:pPr>
  </w:style>
  <w:style w:type="paragraph" w:styleId="Bijschrift">
    <w:name w:val="caption"/>
    <w:aliases w:val="Figur/Tabell-Nr"/>
    <w:basedOn w:val="Standaard"/>
    <w:next w:val="Standaard"/>
    <w:link w:val="BijschriftChar"/>
    <w:unhideWhenUsed/>
    <w:qFormat/>
    <w:rsid w:val="0023412E"/>
    <w:pPr>
      <w:spacing w:before="120" w:after="240"/>
      <w:ind w:left="1021" w:hanging="1021"/>
    </w:pPr>
    <w:rPr>
      <w:bCs/>
      <w:sz w:val="20"/>
      <w:szCs w:val="18"/>
    </w:rPr>
  </w:style>
  <w:style w:type="character" w:customStyle="1" w:styleId="BijschriftChar">
    <w:name w:val="Bijschrift Char"/>
    <w:aliases w:val="Figur/Tabell-Nr Char"/>
    <w:basedOn w:val="Standaardalinea-lettertype"/>
    <w:link w:val="Bijschrift"/>
    <w:rsid w:val="00C5615C"/>
    <w:rPr>
      <w:rFonts w:ascii="Calibri" w:hAnsi="Calibri"/>
      <w:bCs/>
      <w:color w:val="000000"/>
      <w:sz w:val="20"/>
      <w:szCs w:val="18"/>
    </w:rPr>
  </w:style>
  <w:style w:type="paragraph" w:styleId="Koptekst">
    <w:name w:val="header"/>
    <w:basedOn w:val="Standaard"/>
    <w:link w:val="KoptekstChar"/>
    <w:uiPriority w:val="99"/>
    <w:unhideWhenUsed/>
    <w:rsid w:val="00C91635"/>
    <w:pPr>
      <w:tabs>
        <w:tab w:val="clear" w:pos="3686"/>
        <w:tab w:val="center" w:pos="4536"/>
        <w:tab w:val="right" w:pos="9072"/>
      </w:tabs>
      <w:spacing w:after="0"/>
    </w:pPr>
  </w:style>
  <w:style w:type="character" w:customStyle="1" w:styleId="KoptekstChar">
    <w:name w:val="Koptekst Char"/>
    <w:basedOn w:val="Standaardalinea-lettertype"/>
    <w:link w:val="Koptekst"/>
    <w:uiPriority w:val="99"/>
    <w:rsid w:val="00C91635"/>
    <w:rPr>
      <w:rFonts w:ascii="Calibri" w:hAnsi="Calibri"/>
      <w:color w:val="000000"/>
    </w:rPr>
  </w:style>
  <w:style w:type="paragraph" w:styleId="Ballontekst">
    <w:name w:val="Balloon Text"/>
    <w:basedOn w:val="Standaard"/>
    <w:link w:val="BallontekstChar"/>
    <w:uiPriority w:val="99"/>
    <w:semiHidden/>
    <w:unhideWhenUsed/>
    <w:rsid w:val="00A724A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24AE"/>
    <w:rPr>
      <w:rFonts w:ascii="Tahoma" w:hAnsi="Tahoma" w:cs="Tahoma"/>
      <w:color w:val="000000"/>
      <w:sz w:val="16"/>
      <w:szCs w:val="16"/>
    </w:rPr>
  </w:style>
  <w:style w:type="paragraph" w:styleId="Inhopg1">
    <w:name w:val="toc 1"/>
    <w:basedOn w:val="Standaard"/>
    <w:next w:val="Standaard"/>
    <w:autoRedefine/>
    <w:uiPriority w:val="39"/>
    <w:unhideWhenUsed/>
    <w:rsid w:val="005C7F4A"/>
    <w:pPr>
      <w:tabs>
        <w:tab w:val="clear" w:pos="3686"/>
      </w:tabs>
      <w:spacing w:after="100"/>
    </w:pPr>
  </w:style>
  <w:style w:type="character" w:styleId="Hyperlink">
    <w:name w:val="Hyperlink"/>
    <w:basedOn w:val="Standaardalinea-lettertype"/>
    <w:uiPriority w:val="99"/>
    <w:unhideWhenUsed/>
    <w:rsid w:val="005C7F4A"/>
    <w:rPr>
      <w:color w:val="0000FF" w:themeColor="hyperlink"/>
      <w:u w:val="single"/>
    </w:rPr>
  </w:style>
  <w:style w:type="table" w:styleId="Tabelraster">
    <w:name w:val="Table Grid"/>
    <w:basedOn w:val="Standaardtabel"/>
    <w:rsid w:val="005C7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metafbeeldingen">
    <w:name w:val="table of figures"/>
    <w:basedOn w:val="Standaard"/>
    <w:next w:val="Standaard"/>
    <w:uiPriority w:val="99"/>
    <w:unhideWhenUsed/>
    <w:rsid w:val="005C7F4A"/>
    <w:pPr>
      <w:tabs>
        <w:tab w:val="clear" w:pos="3686"/>
      </w:tabs>
      <w:spacing w:after="0"/>
    </w:pPr>
  </w:style>
  <w:style w:type="character" w:styleId="Voetnootmarkering">
    <w:name w:val="footnote reference"/>
    <w:basedOn w:val="Standaardalinea-lettertype"/>
    <w:uiPriority w:val="99"/>
    <w:semiHidden/>
    <w:rsid w:val="00C5615C"/>
    <w:rPr>
      <w:vertAlign w:val="superscript"/>
    </w:rPr>
  </w:style>
  <w:style w:type="paragraph" w:styleId="Voetnoottekst">
    <w:name w:val="footnote text"/>
    <w:basedOn w:val="Standaard"/>
    <w:link w:val="VoetnoottekstChar"/>
    <w:uiPriority w:val="99"/>
    <w:rsid w:val="00C5615C"/>
    <w:pPr>
      <w:tabs>
        <w:tab w:val="clear" w:pos="3686"/>
      </w:tabs>
      <w:spacing w:before="80" w:line="264" w:lineRule="auto"/>
    </w:pPr>
    <w:rPr>
      <w:rFonts w:eastAsia="Times New Roman" w:cs="Times New Roman"/>
      <w:i/>
      <w:color w:val="auto"/>
      <w:sz w:val="14"/>
      <w:szCs w:val="24"/>
      <w:lang w:val="nl-NL" w:eastAsia="nl-NL"/>
    </w:rPr>
  </w:style>
  <w:style w:type="character" w:customStyle="1" w:styleId="VoetnoottekstChar">
    <w:name w:val="Voetnoottekst Char"/>
    <w:basedOn w:val="Standaardalinea-lettertype"/>
    <w:link w:val="Voetnoottekst"/>
    <w:uiPriority w:val="99"/>
    <w:rsid w:val="00C5615C"/>
    <w:rPr>
      <w:rFonts w:ascii="Calibri" w:eastAsia="Times New Roman" w:hAnsi="Calibri" w:cs="Times New Roman"/>
      <w:i/>
      <w:sz w:val="14"/>
      <w:szCs w:val="24"/>
      <w:lang w:val="nl-NL" w:eastAsia="nl-NL"/>
    </w:rPr>
  </w:style>
  <w:style w:type="paragraph" w:styleId="Lijstalinea">
    <w:name w:val="List Paragraph"/>
    <w:basedOn w:val="Standaard"/>
    <w:uiPriority w:val="34"/>
    <w:qFormat/>
    <w:rsid w:val="00AB4A27"/>
    <w:pPr>
      <w:tabs>
        <w:tab w:val="clear" w:pos="3686"/>
      </w:tabs>
      <w:spacing w:after="120" w:line="264" w:lineRule="auto"/>
      <w:ind w:left="720"/>
      <w:contextualSpacing/>
    </w:pPr>
    <w:rPr>
      <w:rFonts w:ascii="Verdana" w:eastAsia="Times New Roman" w:hAnsi="Verdana" w:cs="Times New Roman"/>
      <w:color w:val="auto"/>
      <w:sz w:val="18"/>
      <w:szCs w:val="24"/>
      <w:lang w:eastAsia="nl-NL"/>
    </w:rPr>
  </w:style>
  <w:style w:type="paragraph" w:styleId="Geenafstand">
    <w:name w:val="No Spacing"/>
    <w:uiPriority w:val="1"/>
    <w:qFormat/>
    <w:rsid w:val="00AB4A27"/>
    <w:pPr>
      <w:spacing w:after="0" w:line="240" w:lineRule="auto"/>
    </w:pPr>
    <w:rPr>
      <w:rFonts w:ascii="Verdana" w:eastAsia="Times New Roman" w:hAnsi="Verdana" w:cs="Times New Roman"/>
      <w:sz w:val="18"/>
      <w:szCs w:val="24"/>
      <w:lang w:eastAsia="nl-NL"/>
    </w:rPr>
  </w:style>
  <w:style w:type="table" w:styleId="Lichtearcering">
    <w:name w:val="Light Shading"/>
    <w:basedOn w:val="Standaardtabel"/>
    <w:uiPriority w:val="60"/>
    <w:rsid w:val="00AB4A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kstopmerkingChar">
    <w:name w:val="Tekst opmerking Char"/>
    <w:basedOn w:val="Standaardalinea-lettertype"/>
    <w:link w:val="Tekstopmerking"/>
    <w:uiPriority w:val="99"/>
    <w:semiHidden/>
    <w:rsid w:val="00393FE5"/>
    <w:rPr>
      <w:rFonts w:ascii="Calibri" w:hAnsi="Calibri"/>
      <w:color w:val="000000"/>
      <w:sz w:val="20"/>
      <w:szCs w:val="20"/>
    </w:rPr>
  </w:style>
  <w:style w:type="paragraph" w:styleId="Tekstopmerking">
    <w:name w:val="annotation text"/>
    <w:basedOn w:val="Standaard"/>
    <w:link w:val="TekstopmerkingChar"/>
    <w:uiPriority w:val="99"/>
    <w:semiHidden/>
    <w:unhideWhenUsed/>
    <w:rsid w:val="00393FE5"/>
    <w:rPr>
      <w:sz w:val="20"/>
      <w:szCs w:val="20"/>
    </w:rPr>
  </w:style>
  <w:style w:type="character" w:customStyle="1" w:styleId="OnderwerpvanopmerkingChar">
    <w:name w:val="Onderwerp van opmerking Char"/>
    <w:basedOn w:val="TekstopmerkingChar"/>
    <w:link w:val="Onderwerpvanopmerking"/>
    <w:uiPriority w:val="99"/>
    <w:semiHidden/>
    <w:rsid w:val="00393FE5"/>
    <w:rPr>
      <w:rFonts w:ascii="Calibri" w:hAnsi="Calibri"/>
      <w:b/>
      <w:bCs/>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93FE5"/>
    <w:rPr>
      <w:b/>
      <w:bCs/>
    </w:rPr>
  </w:style>
  <w:style w:type="character" w:styleId="Nadruk">
    <w:name w:val="Emphasis"/>
    <w:basedOn w:val="Standaardalinea-lettertype"/>
    <w:uiPriority w:val="20"/>
    <w:qFormat/>
    <w:rsid w:val="0036251B"/>
    <w:rPr>
      <w:i/>
      <w:iCs/>
    </w:rPr>
  </w:style>
  <w:style w:type="paragraph" w:customStyle="1" w:styleId="ImageCaption">
    <w:name w:val="Image Caption"/>
    <w:basedOn w:val="Bijschrift"/>
    <w:qFormat/>
    <w:rsid w:val="008E1480"/>
  </w:style>
  <w:style w:type="character" w:styleId="Verwijzingopmerking">
    <w:name w:val="annotation reference"/>
    <w:basedOn w:val="Standaardalinea-lettertype"/>
    <w:uiPriority w:val="99"/>
    <w:semiHidden/>
    <w:unhideWhenUsed/>
    <w:rsid w:val="00973B05"/>
    <w:rPr>
      <w:sz w:val="16"/>
      <w:szCs w:val="16"/>
    </w:rPr>
  </w:style>
  <w:style w:type="paragraph" w:styleId="Inhopg2">
    <w:name w:val="toc 2"/>
    <w:basedOn w:val="Standaard"/>
    <w:next w:val="Standaard"/>
    <w:autoRedefine/>
    <w:uiPriority w:val="39"/>
    <w:unhideWhenUsed/>
    <w:rsid w:val="00F5551B"/>
    <w:pPr>
      <w:tabs>
        <w:tab w:val="clear" w:pos="3686"/>
      </w:tabs>
      <w:spacing w:after="100"/>
      <w:ind w:left="220"/>
    </w:pPr>
  </w:style>
  <w:style w:type="paragraph" w:styleId="Inhopg3">
    <w:name w:val="toc 3"/>
    <w:basedOn w:val="Standaard"/>
    <w:next w:val="Standaard"/>
    <w:autoRedefine/>
    <w:uiPriority w:val="39"/>
    <w:unhideWhenUsed/>
    <w:rsid w:val="00F5551B"/>
    <w:pPr>
      <w:tabs>
        <w:tab w:val="clear" w:pos="3686"/>
      </w:tabs>
      <w:spacing w:after="100"/>
      <w:ind w:left="440"/>
    </w:pPr>
  </w:style>
  <w:style w:type="paragraph" w:styleId="Inhopg4">
    <w:name w:val="toc 4"/>
    <w:basedOn w:val="Standaard"/>
    <w:next w:val="Standaard"/>
    <w:autoRedefine/>
    <w:uiPriority w:val="39"/>
    <w:unhideWhenUsed/>
    <w:rsid w:val="00F5551B"/>
    <w:pPr>
      <w:tabs>
        <w:tab w:val="clear" w:pos="3686"/>
      </w:tabs>
      <w:spacing w:after="100"/>
      <w:ind w:left="660"/>
    </w:pPr>
  </w:style>
  <w:style w:type="paragraph" w:styleId="Inhopg5">
    <w:name w:val="toc 5"/>
    <w:basedOn w:val="Standaard"/>
    <w:next w:val="Standaard"/>
    <w:autoRedefine/>
    <w:uiPriority w:val="39"/>
    <w:unhideWhenUsed/>
    <w:rsid w:val="00F5551B"/>
    <w:pPr>
      <w:tabs>
        <w:tab w:val="clear" w:pos="3686"/>
      </w:tabs>
      <w:spacing w:after="100"/>
      <w:ind w:left="880"/>
    </w:pPr>
  </w:style>
  <w:style w:type="table" w:styleId="Lichtelijst">
    <w:name w:val="Light List"/>
    <w:basedOn w:val="Standaardtabel"/>
    <w:uiPriority w:val="61"/>
    <w:rsid w:val="00F93F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opg6">
    <w:name w:val="toc 6"/>
    <w:basedOn w:val="Standaard"/>
    <w:next w:val="Standaard"/>
    <w:autoRedefine/>
    <w:uiPriority w:val="39"/>
    <w:unhideWhenUsed/>
    <w:rsid w:val="00D108C9"/>
    <w:pPr>
      <w:tabs>
        <w:tab w:val="clear" w:pos="3686"/>
      </w:tabs>
      <w:spacing w:after="100" w:line="276" w:lineRule="auto"/>
      <w:ind w:left="1100"/>
    </w:pPr>
    <w:rPr>
      <w:rFonts w:asciiTheme="minorHAnsi" w:eastAsiaTheme="minorEastAsia" w:hAnsiTheme="minorHAnsi"/>
      <w:color w:val="auto"/>
      <w:lang w:eastAsia="nl-BE"/>
    </w:rPr>
  </w:style>
  <w:style w:type="paragraph" w:styleId="Inhopg7">
    <w:name w:val="toc 7"/>
    <w:basedOn w:val="Standaard"/>
    <w:next w:val="Standaard"/>
    <w:autoRedefine/>
    <w:uiPriority w:val="39"/>
    <w:unhideWhenUsed/>
    <w:rsid w:val="00D108C9"/>
    <w:pPr>
      <w:tabs>
        <w:tab w:val="clear" w:pos="3686"/>
      </w:tabs>
      <w:spacing w:after="100" w:line="276" w:lineRule="auto"/>
      <w:ind w:left="1320"/>
    </w:pPr>
    <w:rPr>
      <w:rFonts w:asciiTheme="minorHAnsi" w:eastAsiaTheme="minorEastAsia" w:hAnsiTheme="minorHAnsi"/>
      <w:color w:val="auto"/>
      <w:lang w:eastAsia="nl-BE"/>
    </w:rPr>
  </w:style>
  <w:style w:type="paragraph" w:styleId="Inhopg8">
    <w:name w:val="toc 8"/>
    <w:basedOn w:val="Standaard"/>
    <w:next w:val="Standaard"/>
    <w:autoRedefine/>
    <w:uiPriority w:val="39"/>
    <w:unhideWhenUsed/>
    <w:rsid w:val="00D108C9"/>
    <w:pPr>
      <w:tabs>
        <w:tab w:val="clear" w:pos="3686"/>
      </w:tabs>
      <w:spacing w:after="100" w:line="276" w:lineRule="auto"/>
      <w:ind w:left="1540"/>
    </w:pPr>
    <w:rPr>
      <w:rFonts w:asciiTheme="minorHAnsi" w:eastAsiaTheme="minorEastAsia" w:hAnsiTheme="minorHAnsi"/>
      <w:color w:val="auto"/>
      <w:lang w:eastAsia="nl-BE"/>
    </w:rPr>
  </w:style>
  <w:style w:type="paragraph" w:styleId="Inhopg9">
    <w:name w:val="toc 9"/>
    <w:basedOn w:val="Standaard"/>
    <w:next w:val="Standaard"/>
    <w:autoRedefine/>
    <w:uiPriority w:val="39"/>
    <w:unhideWhenUsed/>
    <w:rsid w:val="00D108C9"/>
    <w:pPr>
      <w:tabs>
        <w:tab w:val="clear" w:pos="3686"/>
      </w:tabs>
      <w:spacing w:after="100" w:line="276" w:lineRule="auto"/>
      <w:ind w:left="1760"/>
    </w:pPr>
    <w:rPr>
      <w:rFonts w:asciiTheme="minorHAnsi" w:eastAsiaTheme="minorEastAsia" w:hAnsiTheme="minorHAnsi"/>
      <w:color w:val="auto"/>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6890"/>
    <w:pPr>
      <w:tabs>
        <w:tab w:val="left" w:pos="3686"/>
      </w:tabs>
      <w:spacing w:after="180" w:line="240" w:lineRule="auto"/>
    </w:pPr>
    <w:rPr>
      <w:rFonts w:ascii="Calibri" w:hAnsi="Calibri"/>
      <w:color w:val="000000"/>
    </w:rPr>
  </w:style>
  <w:style w:type="paragraph" w:styleId="Kop1">
    <w:name w:val="heading 1"/>
    <w:basedOn w:val="Standaard"/>
    <w:next w:val="Standaard"/>
    <w:link w:val="Kop1Char"/>
    <w:uiPriority w:val="9"/>
    <w:qFormat/>
    <w:rsid w:val="00AA766B"/>
    <w:pPr>
      <w:keepNext/>
      <w:keepLines/>
      <w:pageBreakBefore/>
      <w:numPr>
        <w:numId w:val="12"/>
      </w:numPr>
      <w:spacing w:before="480" w:after="480"/>
      <w:ind w:left="454" w:hanging="454"/>
      <w:contextualSpacing/>
      <w:outlineLvl w:val="0"/>
    </w:pPr>
    <w:rPr>
      <w:rFonts w:eastAsiaTheme="majorEastAsia" w:cstheme="majorBidi"/>
      <w:b/>
      <w:bCs/>
      <w:caps/>
      <w:color w:val="C04384"/>
      <w:sz w:val="36"/>
      <w:szCs w:val="28"/>
    </w:rPr>
  </w:style>
  <w:style w:type="paragraph" w:styleId="Kop2">
    <w:name w:val="heading 2"/>
    <w:basedOn w:val="Standaard"/>
    <w:next w:val="Standaard"/>
    <w:link w:val="Kop2Char"/>
    <w:uiPriority w:val="9"/>
    <w:unhideWhenUsed/>
    <w:qFormat/>
    <w:rsid w:val="00AA766B"/>
    <w:pPr>
      <w:keepNext/>
      <w:keepLines/>
      <w:numPr>
        <w:ilvl w:val="1"/>
        <w:numId w:val="12"/>
      </w:numPr>
      <w:spacing w:before="200" w:after="240"/>
      <w:ind w:left="851" w:hanging="851"/>
      <w:contextualSpacing/>
      <w:outlineLvl w:val="1"/>
    </w:pPr>
    <w:rPr>
      <w:rFonts w:eastAsiaTheme="majorEastAsia" w:cstheme="majorBidi"/>
      <w:bCs/>
      <w:caps/>
      <w:color w:val="C04384"/>
      <w:sz w:val="32"/>
      <w:szCs w:val="26"/>
      <w:u w:val="dottedHeavy" w:color="C04384"/>
    </w:rPr>
  </w:style>
  <w:style w:type="paragraph" w:styleId="Kop3">
    <w:name w:val="heading 3"/>
    <w:basedOn w:val="Standaard"/>
    <w:next w:val="Standaard"/>
    <w:link w:val="Kop3Char"/>
    <w:uiPriority w:val="9"/>
    <w:unhideWhenUsed/>
    <w:qFormat/>
    <w:rsid w:val="00AA766B"/>
    <w:pPr>
      <w:keepNext/>
      <w:keepLines/>
      <w:numPr>
        <w:ilvl w:val="2"/>
        <w:numId w:val="12"/>
      </w:numPr>
      <w:spacing w:before="200" w:after="120"/>
      <w:ind w:left="964" w:hanging="964"/>
      <w:contextualSpacing/>
      <w:outlineLvl w:val="2"/>
    </w:pPr>
    <w:rPr>
      <w:rFonts w:eastAsiaTheme="majorEastAsia" w:cstheme="majorBidi"/>
      <w:b/>
      <w:bCs/>
      <w:color w:val="C04384"/>
      <w:sz w:val="24"/>
    </w:rPr>
  </w:style>
  <w:style w:type="paragraph" w:styleId="Kop4">
    <w:name w:val="heading 4"/>
    <w:basedOn w:val="Standaard"/>
    <w:next w:val="Standaard"/>
    <w:link w:val="Kop4Char"/>
    <w:uiPriority w:val="9"/>
    <w:unhideWhenUsed/>
    <w:qFormat/>
    <w:rsid w:val="00AA766B"/>
    <w:pPr>
      <w:keepNext/>
      <w:keepLines/>
      <w:numPr>
        <w:ilvl w:val="3"/>
        <w:numId w:val="12"/>
      </w:numPr>
      <w:spacing w:before="200"/>
      <w:ind w:left="1077" w:hanging="1077"/>
      <w:contextualSpacing/>
      <w:outlineLvl w:val="3"/>
    </w:pPr>
    <w:rPr>
      <w:rFonts w:eastAsiaTheme="majorEastAsia" w:cstheme="majorBidi"/>
      <w:b/>
      <w:bCs/>
      <w:iCs/>
      <w:color w:val="C04384"/>
      <w:u w:val="single" w:color="C04384"/>
    </w:rPr>
  </w:style>
  <w:style w:type="paragraph" w:styleId="Kop5">
    <w:name w:val="heading 5"/>
    <w:basedOn w:val="Standaard"/>
    <w:next w:val="Standaard"/>
    <w:link w:val="Kop5Char"/>
    <w:uiPriority w:val="9"/>
    <w:unhideWhenUsed/>
    <w:qFormat/>
    <w:rsid w:val="00AA766B"/>
    <w:pPr>
      <w:keepNext/>
      <w:keepLines/>
      <w:numPr>
        <w:ilvl w:val="4"/>
        <w:numId w:val="12"/>
      </w:numPr>
      <w:spacing w:before="200"/>
      <w:ind w:left="1247" w:hanging="1247"/>
      <w:contextualSpacing/>
      <w:outlineLvl w:val="4"/>
    </w:pPr>
    <w:rPr>
      <w:rFonts w:eastAsiaTheme="majorEastAsia" w:cstheme="majorBidi"/>
      <w:color w:val="C04384"/>
    </w:rPr>
  </w:style>
  <w:style w:type="paragraph" w:styleId="Kop6">
    <w:name w:val="heading 6"/>
    <w:basedOn w:val="Standaard"/>
    <w:next w:val="Standaard"/>
    <w:link w:val="Kop6Char"/>
    <w:uiPriority w:val="9"/>
    <w:unhideWhenUsed/>
    <w:qFormat/>
    <w:rsid w:val="00AA766B"/>
    <w:pPr>
      <w:keepNext/>
      <w:keepLines/>
      <w:numPr>
        <w:ilvl w:val="5"/>
        <w:numId w:val="12"/>
      </w:numPr>
      <w:spacing w:before="200"/>
      <w:ind w:left="1361" w:hanging="1361"/>
      <w:contextualSpacing/>
      <w:outlineLvl w:val="5"/>
    </w:pPr>
    <w:rPr>
      <w:rFonts w:eastAsiaTheme="majorEastAsia" w:cstheme="majorBidi"/>
      <w:iCs/>
      <w:color w:val="C04384"/>
    </w:rPr>
  </w:style>
  <w:style w:type="paragraph" w:styleId="Kop7">
    <w:name w:val="heading 7"/>
    <w:basedOn w:val="Standaard"/>
    <w:next w:val="Standaard"/>
    <w:link w:val="Kop7Char"/>
    <w:uiPriority w:val="9"/>
    <w:unhideWhenUsed/>
    <w:qFormat/>
    <w:rsid w:val="00AA766B"/>
    <w:pPr>
      <w:keepNext/>
      <w:keepLines/>
      <w:numPr>
        <w:ilvl w:val="6"/>
        <w:numId w:val="12"/>
      </w:numPr>
      <w:spacing w:before="200"/>
      <w:ind w:left="1531" w:hanging="1531"/>
      <w:contextualSpacing/>
      <w:outlineLvl w:val="6"/>
    </w:pPr>
    <w:rPr>
      <w:rFonts w:eastAsiaTheme="majorEastAsia" w:cstheme="majorBidi"/>
      <w:iCs/>
      <w:color w:val="C04384"/>
    </w:rPr>
  </w:style>
  <w:style w:type="paragraph" w:styleId="Kop8">
    <w:name w:val="heading 8"/>
    <w:basedOn w:val="Standaard"/>
    <w:next w:val="Standaard"/>
    <w:link w:val="Kop8Char"/>
    <w:uiPriority w:val="9"/>
    <w:semiHidden/>
    <w:unhideWhenUsed/>
    <w:qFormat/>
    <w:rsid w:val="0023412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3412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766B"/>
    <w:rPr>
      <w:rFonts w:ascii="Calibri" w:eastAsiaTheme="majorEastAsia" w:hAnsi="Calibri" w:cstheme="majorBidi"/>
      <w:b/>
      <w:bCs/>
      <w:caps/>
      <w:color w:val="C04384"/>
      <w:sz w:val="36"/>
      <w:szCs w:val="28"/>
    </w:rPr>
  </w:style>
  <w:style w:type="character" w:customStyle="1" w:styleId="Kop2Char">
    <w:name w:val="Kop 2 Char"/>
    <w:basedOn w:val="Standaardalinea-lettertype"/>
    <w:link w:val="Kop2"/>
    <w:uiPriority w:val="9"/>
    <w:rsid w:val="00AA766B"/>
    <w:rPr>
      <w:rFonts w:ascii="Calibri" w:eastAsiaTheme="majorEastAsia" w:hAnsi="Calibri" w:cstheme="majorBidi"/>
      <w:bCs/>
      <w:caps/>
      <w:color w:val="C04384"/>
      <w:sz w:val="32"/>
      <w:szCs w:val="26"/>
      <w:u w:val="dottedHeavy" w:color="C04384"/>
    </w:rPr>
  </w:style>
  <w:style w:type="character" w:customStyle="1" w:styleId="Kop3Char">
    <w:name w:val="Kop 3 Char"/>
    <w:basedOn w:val="Standaardalinea-lettertype"/>
    <w:link w:val="Kop3"/>
    <w:uiPriority w:val="9"/>
    <w:rsid w:val="00AA766B"/>
    <w:rPr>
      <w:rFonts w:ascii="Calibri" w:eastAsiaTheme="majorEastAsia" w:hAnsi="Calibri" w:cstheme="majorBidi"/>
      <w:b/>
      <w:bCs/>
      <w:color w:val="C04384"/>
      <w:sz w:val="24"/>
    </w:rPr>
  </w:style>
  <w:style w:type="character" w:customStyle="1" w:styleId="Kop4Char">
    <w:name w:val="Kop 4 Char"/>
    <w:basedOn w:val="Standaardalinea-lettertype"/>
    <w:link w:val="Kop4"/>
    <w:uiPriority w:val="9"/>
    <w:rsid w:val="00AA766B"/>
    <w:rPr>
      <w:rFonts w:ascii="Calibri" w:eastAsiaTheme="majorEastAsia" w:hAnsi="Calibri" w:cstheme="majorBidi"/>
      <w:b/>
      <w:bCs/>
      <w:iCs/>
      <w:color w:val="C04384"/>
      <w:u w:val="single" w:color="C04384"/>
    </w:rPr>
  </w:style>
  <w:style w:type="character" w:customStyle="1" w:styleId="Kop5Char">
    <w:name w:val="Kop 5 Char"/>
    <w:basedOn w:val="Standaardalinea-lettertype"/>
    <w:link w:val="Kop5"/>
    <w:uiPriority w:val="9"/>
    <w:rsid w:val="00AA766B"/>
    <w:rPr>
      <w:rFonts w:ascii="Calibri" w:eastAsiaTheme="majorEastAsia" w:hAnsi="Calibri" w:cstheme="majorBidi"/>
      <w:color w:val="C04384"/>
    </w:rPr>
  </w:style>
  <w:style w:type="character" w:customStyle="1" w:styleId="Kop6Char">
    <w:name w:val="Kop 6 Char"/>
    <w:basedOn w:val="Standaardalinea-lettertype"/>
    <w:link w:val="Kop6"/>
    <w:uiPriority w:val="9"/>
    <w:rsid w:val="00AA766B"/>
    <w:rPr>
      <w:rFonts w:ascii="Calibri" w:eastAsiaTheme="majorEastAsia" w:hAnsi="Calibri" w:cstheme="majorBidi"/>
      <w:iCs/>
      <w:color w:val="C04384"/>
    </w:rPr>
  </w:style>
  <w:style w:type="character" w:customStyle="1" w:styleId="Kop7Char">
    <w:name w:val="Kop 7 Char"/>
    <w:basedOn w:val="Standaardalinea-lettertype"/>
    <w:link w:val="Kop7"/>
    <w:uiPriority w:val="9"/>
    <w:rsid w:val="00AA766B"/>
    <w:rPr>
      <w:rFonts w:ascii="Calibri" w:eastAsiaTheme="majorEastAsia" w:hAnsi="Calibri" w:cstheme="majorBidi"/>
      <w:iCs/>
      <w:color w:val="C04384"/>
    </w:rPr>
  </w:style>
  <w:style w:type="character" w:customStyle="1" w:styleId="Kop8Char">
    <w:name w:val="Kop 8 Char"/>
    <w:basedOn w:val="Standaardalinea-lettertype"/>
    <w:link w:val="Kop8"/>
    <w:uiPriority w:val="9"/>
    <w:semiHidden/>
    <w:rsid w:val="0023412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3412E"/>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AB0E4C"/>
    <w:pPr>
      <w:tabs>
        <w:tab w:val="center" w:pos="4536"/>
        <w:tab w:val="right" w:pos="9072"/>
      </w:tabs>
    </w:pPr>
    <w:rPr>
      <w:color w:val="C04384"/>
      <w:sz w:val="16"/>
    </w:rPr>
  </w:style>
  <w:style w:type="character" w:customStyle="1" w:styleId="VoettekstChar">
    <w:name w:val="Voettekst Char"/>
    <w:basedOn w:val="Standaardalinea-lettertype"/>
    <w:link w:val="Voettekst"/>
    <w:uiPriority w:val="99"/>
    <w:rsid w:val="00AB0E4C"/>
    <w:rPr>
      <w:rFonts w:ascii="Calibri" w:hAnsi="Calibri"/>
      <w:color w:val="C04384"/>
      <w:sz w:val="16"/>
    </w:rPr>
  </w:style>
  <w:style w:type="paragraph" w:styleId="Titel">
    <w:name w:val="Title"/>
    <w:basedOn w:val="Standaard"/>
    <w:next w:val="Standaard"/>
    <w:link w:val="TitelChar"/>
    <w:uiPriority w:val="10"/>
    <w:qFormat/>
    <w:rsid w:val="00903DC8"/>
    <w:pPr>
      <w:framePr w:wrap="notBeside" w:vAnchor="text" w:hAnchor="text" w:y="1"/>
      <w:spacing w:before="420" w:after="520"/>
      <w:ind w:left="567"/>
      <w:contextualSpacing/>
    </w:pPr>
    <w:rPr>
      <w:rFonts w:eastAsiaTheme="majorEastAsia" w:cstheme="majorBidi"/>
      <w:caps/>
      <w:color w:val="C04384"/>
      <w:sz w:val="40"/>
      <w:szCs w:val="52"/>
      <w:u w:val="single"/>
    </w:rPr>
  </w:style>
  <w:style w:type="character" w:customStyle="1" w:styleId="TitelChar">
    <w:name w:val="Titel Char"/>
    <w:basedOn w:val="Standaardalinea-lettertype"/>
    <w:link w:val="Titel"/>
    <w:uiPriority w:val="10"/>
    <w:rsid w:val="00903DC8"/>
    <w:rPr>
      <w:rFonts w:ascii="Calibri" w:eastAsiaTheme="majorEastAsia" w:hAnsi="Calibri" w:cstheme="majorBidi"/>
      <w:caps/>
      <w:color w:val="C04384"/>
      <w:sz w:val="40"/>
      <w:szCs w:val="52"/>
      <w:u w:val="single"/>
    </w:rPr>
  </w:style>
  <w:style w:type="paragraph" w:styleId="Ondertitel">
    <w:name w:val="Subtitle"/>
    <w:basedOn w:val="Standaard"/>
    <w:next w:val="Standaard"/>
    <w:link w:val="OndertitelChar"/>
    <w:uiPriority w:val="11"/>
    <w:qFormat/>
    <w:rsid w:val="00622E05"/>
    <w:pPr>
      <w:numPr>
        <w:ilvl w:val="1"/>
      </w:numPr>
      <w:ind w:left="567"/>
      <w:contextualSpacing/>
    </w:pPr>
    <w:rPr>
      <w:rFonts w:eastAsiaTheme="majorEastAsia" w:cstheme="majorBidi"/>
      <w:b/>
      <w:iCs/>
      <w:color w:val="C04384"/>
      <w:sz w:val="36"/>
      <w:szCs w:val="24"/>
    </w:rPr>
  </w:style>
  <w:style w:type="character" w:customStyle="1" w:styleId="OndertitelChar">
    <w:name w:val="Ondertitel Char"/>
    <w:basedOn w:val="Standaardalinea-lettertype"/>
    <w:link w:val="Ondertitel"/>
    <w:uiPriority w:val="11"/>
    <w:rsid w:val="00622E05"/>
    <w:rPr>
      <w:rFonts w:ascii="Calibri" w:eastAsiaTheme="majorEastAsia" w:hAnsi="Calibri" w:cstheme="majorBidi"/>
      <w:b/>
      <w:iCs/>
      <w:color w:val="C04384"/>
      <w:sz w:val="36"/>
      <w:szCs w:val="24"/>
    </w:rPr>
  </w:style>
  <w:style w:type="paragraph" w:customStyle="1" w:styleId="Auteurs">
    <w:name w:val="Auteurs"/>
    <w:basedOn w:val="Standaard"/>
    <w:next w:val="Standaard"/>
    <w:qFormat/>
    <w:rsid w:val="005A6890"/>
    <w:pPr>
      <w:spacing w:before="240" w:after="2880"/>
      <w:ind w:left="567"/>
    </w:pPr>
    <w:rPr>
      <w:b/>
      <w:color w:val="C04384"/>
      <w:sz w:val="24"/>
    </w:rPr>
  </w:style>
  <w:style w:type="paragraph" w:customStyle="1" w:styleId="DOInr">
    <w:name w:val="DOInr"/>
    <w:basedOn w:val="Standaard"/>
    <w:next w:val="Standaard"/>
    <w:qFormat/>
    <w:rsid w:val="005A6890"/>
    <w:pPr>
      <w:spacing w:after="0"/>
      <w:ind w:left="567"/>
    </w:pPr>
    <w:rPr>
      <w:color w:val="C04384"/>
    </w:rPr>
  </w:style>
  <w:style w:type="paragraph" w:customStyle="1" w:styleId="Opdrachtnr">
    <w:name w:val="Opdrachtnr"/>
    <w:basedOn w:val="Standaard"/>
    <w:next w:val="Standaard"/>
    <w:qFormat/>
    <w:rsid w:val="005A6890"/>
    <w:pPr>
      <w:spacing w:after="0"/>
      <w:ind w:left="567"/>
    </w:pPr>
    <w:rPr>
      <w:color w:val="C04384"/>
    </w:rPr>
  </w:style>
  <w:style w:type="paragraph" w:customStyle="1" w:styleId="Voortitel">
    <w:name w:val="Voortitel"/>
    <w:basedOn w:val="Standaard"/>
    <w:next w:val="Standaard"/>
    <w:qFormat/>
    <w:rsid w:val="00111797"/>
    <w:pPr>
      <w:spacing w:after="280"/>
    </w:pPr>
    <w:rPr>
      <w:b/>
      <w:color w:val="C04384"/>
      <w:sz w:val="28"/>
    </w:rPr>
  </w:style>
  <w:style w:type="paragraph" w:customStyle="1" w:styleId="Inhoudstafel">
    <w:name w:val="Inhoudstafel"/>
    <w:basedOn w:val="Standaard"/>
    <w:next w:val="Standaard"/>
    <w:qFormat/>
    <w:rsid w:val="00111797"/>
    <w:pPr>
      <w:spacing w:after="280"/>
    </w:pPr>
    <w:rPr>
      <w:b/>
      <w:color w:val="C04384"/>
      <w:sz w:val="28"/>
    </w:rPr>
  </w:style>
  <w:style w:type="paragraph" w:customStyle="1" w:styleId="VoettekstLiggend">
    <w:name w:val="Voettekst_Liggend"/>
    <w:basedOn w:val="Voettekst"/>
    <w:qFormat/>
    <w:rsid w:val="00906836"/>
    <w:pPr>
      <w:pBdr>
        <w:top w:val="single" w:sz="4" w:space="1" w:color="auto"/>
      </w:pBdr>
      <w:tabs>
        <w:tab w:val="clear" w:pos="3686"/>
        <w:tab w:val="clear" w:pos="4536"/>
        <w:tab w:val="clear" w:pos="9072"/>
        <w:tab w:val="center" w:pos="7088"/>
        <w:tab w:val="right" w:pos="14175"/>
      </w:tabs>
      <w:spacing w:before="80"/>
    </w:pPr>
  </w:style>
  <w:style w:type="paragraph" w:customStyle="1" w:styleId="Nestedlist">
    <w:name w:val="Nested_list"/>
    <w:basedOn w:val="Standaard"/>
    <w:qFormat/>
    <w:rsid w:val="00780BDE"/>
    <w:pPr>
      <w:tabs>
        <w:tab w:val="clear" w:pos="3686"/>
        <w:tab w:val="num" w:pos="720"/>
      </w:tabs>
      <w:ind w:left="720" w:hanging="363"/>
    </w:pPr>
  </w:style>
  <w:style w:type="paragraph" w:styleId="Bijschrift">
    <w:name w:val="caption"/>
    <w:aliases w:val="Figur/Tabell-Nr"/>
    <w:basedOn w:val="Standaard"/>
    <w:next w:val="Standaard"/>
    <w:link w:val="BijschriftChar"/>
    <w:unhideWhenUsed/>
    <w:qFormat/>
    <w:rsid w:val="0023412E"/>
    <w:pPr>
      <w:spacing w:before="120" w:after="240"/>
      <w:ind w:left="1021" w:hanging="1021"/>
    </w:pPr>
    <w:rPr>
      <w:bCs/>
      <w:sz w:val="20"/>
      <w:szCs w:val="18"/>
    </w:rPr>
  </w:style>
  <w:style w:type="character" w:customStyle="1" w:styleId="BijschriftChar">
    <w:name w:val="Bijschrift Char"/>
    <w:aliases w:val="Figur/Tabell-Nr Char"/>
    <w:basedOn w:val="Standaardalinea-lettertype"/>
    <w:link w:val="Bijschrift"/>
    <w:rsid w:val="00C5615C"/>
    <w:rPr>
      <w:rFonts w:ascii="Calibri" w:hAnsi="Calibri"/>
      <w:bCs/>
      <w:color w:val="000000"/>
      <w:sz w:val="20"/>
      <w:szCs w:val="18"/>
    </w:rPr>
  </w:style>
  <w:style w:type="paragraph" w:styleId="Koptekst">
    <w:name w:val="header"/>
    <w:basedOn w:val="Standaard"/>
    <w:link w:val="KoptekstChar"/>
    <w:uiPriority w:val="99"/>
    <w:unhideWhenUsed/>
    <w:rsid w:val="00C91635"/>
    <w:pPr>
      <w:tabs>
        <w:tab w:val="clear" w:pos="3686"/>
        <w:tab w:val="center" w:pos="4536"/>
        <w:tab w:val="right" w:pos="9072"/>
      </w:tabs>
      <w:spacing w:after="0"/>
    </w:pPr>
  </w:style>
  <w:style w:type="character" w:customStyle="1" w:styleId="KoptekstChar">
    <w:name w:val="Koptekst Char"/>
    <w:basedOn w:val="Standaardalinea-lettertype"/>
    <w:link w:val="Koptekst"/>
    <w:uiPriority w:val="99"/>
    <w:rsid w:val="00C91635"/>
    <w:rPr>
      <w:rFonts w:ascii="Calibri" w:hAnsi="Calibri"/>
      <w:color w:val="000000"/>
    </w:rPr>
  </w:style>
  <w:style w:type="paragraph" w:styleId="Ballontekst">
    <w:name w:val="Balloon Text"/>
    <w:basedOn w:val="Standaard"/>
    <w:link w:val="BallontekstChar"/>
    <w:uiPriority w:val="99"/>
    <w:semiHidden/>
    <w:unhideWhenUsed/>
    <w:rsid w:val="00A724A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24AE"/>
    <w:rPr>
      <w:rFonts w:ascii="Tahoma" w:hAnsi="Tahoma" w:cs="Tahoma"/>
      <w:color w:val="000000"/>
      <w:sz w:val="16"/>
      <w:szCs w:val="16"/>
    </w:rPr>
  </w:style>
  <w:style w:type="paragraph" w:styleId="Inhopg1">
    <w:name w:val="toc 1"/>
    <w:basedOn w:val="Standaard"/>
    <w:next w:val="Standaard"/>
    <w:autoRedefine/>
    <w:uiPriority w:val="39"/>
    <w:unhideWhenUsed/>
    <w:rsid w:val="005C7F4A"/>
    <w:pPr>
      <w:tabs>
        <w:tab w:val="clear" w:pos="3686"/>
      </w:tabs>
      <w:spacing w:after="100"/>
    </w:pPr>
  </w:style>
  <w:style w:type="character" w:styleId="Hyperlink">
    <w:name w:val="Hyperlink"/>
    <w:basedOn w:val="Standaardalinea-lettertype"/>
    <w:uiPriority w:val="99"/>
    <w:unhideWhenUsed/>
    <w:rsid w:val="005C7F4A"/>
    <w:rPr>
      <w:color w:val="0000FF" w:themeColor="hyperlink"/>
      <w:u w:val="single"/>
    </w:rPr>
  </w:style>
  <w:style w:type="table" w:styleId="Tabelraster">
    <w:name w:val="Table Grid"/>
    <w:basedOn w:val="Standaardtabel"/>
    <w:rsid w:val="005C7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metafbeeldingen">
    <w:name w:val="table of figures"/>
    <w:basedOn w:val="Standaard"/>
    <w:next w:val="Standaard"/>
    <w:uiPriority w:val="99"/>
    <w:unhideWhenUsed/>
    <w:rsid w:val="005C7F4A"/>
    <w:pPr>
      <w:tabs>
        <w:tab w:val="clear" w:pos="3686"/>
      </w:tabs>
      <w:spacing w:after="0"/>
    </w:pPr>
  </w:style>
  <w:style w:type="character" w:styleId="Voetnootmarkering">
    <w:name w:val="footnote reference"/>
    <w:basedOn w:val="Standaardalinea-lettertype"/>
    <w:uiPriority w:val="99"/>
    <w:semiHidden/>
    <w:rsid w:val="00C5615C"/>
    <w:rPr>
      <w:vertAlign w:val="superscript"/>
    </w:rPr>
  </w:style>
  <w:style w:type="paragraph" w:styleId="Voetnoottekst">
    <w:name w:val="footnote text"/>
    <w:basedOn w:val="Standaard"/>
    <w:link w:val="VoetnoottekstChar"/>
    <w:uiPriority w:val="99"/>
    <w:rsid w:val="00C5615C"/>
    <w:pPr>
      <w:tabs>
        <w:tab w:val="clear" w:pos="3686"/>
      </w:tabs>
      <w:spacing w:before="80" w:line="264" w:lineRule="auto"/>
    </w:pPr>
    <w:rPr>
      <w:rFonts w:eastAsia="Times New Roman" w:cs="Times New Roman"/>
      <w:i/>
      <w:color w:val="auto"/>
      <w:sz w:val="14"/>
      <w:szCs w:val="24"/>
      <w:lang w:val="nl-NL" w:eastAsia="nl-NL"/>
    </w:rPr>
  </w:style>
  <w:style w:type="character" w:customStyle="1" w:styleId="VoetnoottekstChar">
    <w:name w:val="Voetnoottekst Char"/>
    <w:basedOn w:val="Standaardalinea-lettertype"/>
    <w:link w:val="Voetnoottekst"/>
    <w:uiPriority w:val="99"/>
    <w:rsid w:val="00C5615C"/>
    <w:rPr>
      <w:rFonts w:ascii="Calibri" w:eastAsia="Times New Roman" w:hAnsi="Calibri" w:cs="Times New Roman"/>
      <w:i/>
      <w:sz w:val="14"/>
      <w:szCs w:val="24"/>
      <w:lang w:val="nl-NL" w:eastAsia="nl-NL"/>
    </w:rPr>
  </w:style>
  <w:style w:type="paragraph" w:styleId="Lijstalinea">
    <w:name w:val="List Paragraph"/>
    <w:basedOn w:val="Standaard"/>
    <w:uiPriority w:val="34"/>
    <w:qFormat/>
    <w:rsid w:val="00AB4A27"/>
    <w:pPr>
      <w:tabs>
        <w:tab w:val="clear" w:pos="3686"/>
      </w:tabs>
      <w:spacing w:after="120" w:line="264" w:lineRule="auto"/>
      <w:ind w:left="720"/>
      <w:contextualSpacing/>
    </w:pPr>
    <w:rPr>
      <w:rFonts w:ascii="Verdana" w:eastAsia="Times New Roman" w:hAnsi="Verdana" w:cs="Times New Roman"/>
      <w:color w:val="auto"/>
      <w:sz w:val="18"/>
      <w:szCs w:val="24"/>
      <w:lang w:eastAsia="nl-NL"/>
    </w:rPr>
  </w:style>
  <w:style w:type="paragraph" w:styleId="Geenafstand">
    <w:name w:val="No Spacing"/>
    <w:uiPriority w:val="1"/>
    <w:qFormat/>
    <w:rsid w:val="00AB4A27"/>
    <w:pPr>
      <w:spacing w:after="0" w:line="240" w:lineRule="auto"/>
    </w:pPr>
    <w:rPr>
      <w:rFonts w:ascii="Verdana" w:eastAsia="Times New Roman" w:hAnsi="Verdana" w:cs="Times New Roman"/>
      <w:sz w:val="18"/>
      <w:szCs w:val="24"/>
      <w:lang w:eastAsia="nl-NL"/>
    </w:rPr>
  </w:style>
  <w:style w:type="table" w:styleId="Lichtearcering">
    <w:name w:val="Light Shading"/>
    <w:basedOn w:val="Standaardtabel"/>
    <w:uiPriority w:val="60"/>
    <w:rsid w:val="00AB4A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kstopmerkingChar">
    <w:name w:val="Tekst opmerking Char"/>
    <w:basedOn w:val="Standaardalinea-lettertype"/>
    <w:link w:val="Tekstopmerking"/>
    <w:uiPriority w:val="99"/>
    <w:semiHidden/>
    <w:rsid w:val="00393FE5"/>
    <w:rPr>
      <w:rFonts w:ascii="Calibri" w:hAnsi="Calibri"/>
      <w:color w:val="000000"/>
      <w:sz w:val="20"/>
      <w:szCs w:val="20"/>
    </w:rPr>
  </w:style>
  <w:style w:type="paragraph" w:styleId="Tekstopmerking">
    <w:name w:val="annotation text"/>
    <w:basedOn w:val="Standaard"/>
    <w:link w:val="TekstopmerkingChar"/>
    <w:uiPriority w:val="99"/>
    <w:semiHidden/>
    <w:unhideWhenUsed/>
    <w:rsid w:val="00393FE5"/>
    <w:rPr>
      <w:sz w:val="20"/>
      <w:szCs w:val="20"/>
    </w:rPr>
  </w:style>
  <w:style w:type="character" w:customStyle="1" w:styleId="OnderwerpvanopmerkingChar">
    <w:name w:val="Onderwerp van opmerking Char"/>
    <w:basedOn w:val="TekstopmerkingChar"/>
    <w:link w:val="Onderwerpvanopmerking"/>
    <w:uiPriority w:val="99"/>
    <w:semiHidden/>
    <w:rsid w:val="00393FE5"/>
    <w:rPr>
      <w:rFonts w:ascii="Calibri" w:hAnsi="Calibri"/>
      <w:b/>
      <w:bCs/>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93FE5"/>
    <w:rPr>
      <w:b/>
      <w:bCs/>
    </w:rPr>
  </w:style>
  <w:style w:type="character" w:styleId="Nadruk">
    <w:name w:val="Emphasis"/>
    <w:basedOn w:val="Standaardalinea-lettertype"/>
    <w:uiPriority w:val="20"/>
    <w:qFormat/>
    <w:rsid w:val="0036251B"/>
    <w:rPr>
      <w:i/>
      <w:iCs/>
    </w:rPr>
  </w:style>
  <w:style w:type="paragraph" w:customStyle="1" w:styleId="ImageCaption">
    <w:name w:val="Image Caption"/>
    <w:basedOn w:val="Bijschrift"/>
    <w:qFormat/>
    <w:rsid w:val="008E1480"/>
  </w:style>
  <w:style w:type="character" w:styleId="Verwijzingopmerking">
    <w:name w:val="annotation reference"/>
    <w:basedOn w:val="Standaardalinea-lettertype"/>
    <w:uiPriority w:val="99"/>
    <w:semiHidden/>
    <w:unhideWhenUsed/>
    <w:rsid w:val="00973B05"/>
    <w:rPr>
      <w:sz w:val="16"/>
      <w:szCs w:val="16"/>
    </w:rPr>
  </w:style>
  <w:style w:type="paragraph" w:styleId="Inhopg2">
    <w:name w:val="toc 2"/>
    <w:basedOn w:val="Standaard"/>
    <w:next w:val="Standaard"/>
    <w:autoRedefine/>
    <w:uiPriority w:val="39"/>
    <w:unhideWhenUsed/>
    <w:rsid w:val="00F5551B"/>
    <w:pPr>
      <w:tabs>
        <w:tab w:val="clear" w:pos="3686"/>
      </w:tabs>
      <w:spacing w:after="100"/>
      <w:ind w:left="220"/>
    </w:pPr>
  </w:style>
  <w:style w:type="paragraph" w:styleId="Inhopg3">
    <w:name w:val="toc 3"/>
    <w:basedOn w:val="Standaard"/>
    <w:next w:val="Standaard"/>
    <w:autoRedefine/>
    <w:uiPriority w:val="39"/>
    <w:unhideWhenUsed/>
    <w:rsid w:val="00F5551B"/>
    <w:pPr>
      <w:tabs>
        <w:tab w:val="clear" w:pos="3686"/>
      </w:tabs>
      <w:spacing w:after="100"/>
      <w:ind w:left="440"/>
    </w:pPr>
  </w:style>
  <w:style w:type="paragraph" w:styleId="Inhopg4">
    <w:name w:val="toc 4"/>
    <w:basedOn w:val="Standaard"/>
    <w:next w:val="Standaard"/>
    <w:autoRedefine/>
    <w:uiPriority w:val="39"/>
    <w:unhideWhenUsed/>
    <w:rsid w:val="00F5551B"/>
    <w:pPr>
      <w:tabs>
        <w:tab w:val="clear" w:pos="3686"/>
      </w:tabs>
      <w:spacing w:after="100"/>
      <w:ind w:left="660"/>
    </w:pPr>
  </w:style>
  <w:style w:type="paragraph" w:styleId="Inhopg5">
    <w:name w:val="toc 5"/>
    <w:basedOn w:val="Standaard"/>
    <w:next w:val="Standaard"/>
    <w:autoRedefine/>
    <w:uiPriority w:val="39"/>
    <w:unhideWhenUsed/>
    <w:rsid w:val="00F5551B"/>
    <w:pPr>
      <w:tabs>
        <w:tab w:val="clear" w:pos="3686"/>
      </w:tabs>
      <w:spacing w:after="100"/>
      <w:ind w:left="880"/>
    </w:pPr>
  </w:style>
  <w:style w:type="table" w:styleId="Lichtelijst">
    <w:name w:val="Light List"/>
    <w:basedOn w:val="Standaardtabel"/>
    <w:uiPriority w:val="61"/>
    <w:rsid w:val="00F93F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opg6">
    <w:name w:val="toc 6"/>
    <w:basedOn w:val="Standaard"/>
    <w:next w:val="Standaard"/>
    <w:autoRedefine/>
    <w:uiPriority w:val="39"/>
    <w:unhideWhenUsed/>
    <w:rsid w:val="00D108C9"/>
    <w:pPr>
      <w:tabs>
        <w:tab w:val="clear" w:pos="3686"/>
      </w:tabs>
      <w:spacing w:after="100" w:line="276" w:lineRule="auto"/>
      <w:ind w:left="1100"/>
    </w:pPr>
    <w:rPr>
      <w:rFonts w:asciiTheme="minorHAnsi" w:eastAsiaTheme="minorEastAsia" w:hAnsiTheme="minorHAnsi"/>
      <w:color w:val="auto"/>
      <w:lang w:eastAsia="nl-BE"/>
    </w:rPr>
  </w:style>
  <w:style w:type="paragraph" w:styleId="Inhopg7">
    <w:name w:val="toc 7"/>
    <w:basedOn w:val="Standaard"/>
    <w:next w:val="Standaard"/>
    <w:autoRedefine/>
    <w:uiPriority w:val="39"/>
    <w:unhideWhenUsed/>
    <w:rsid w:val="00D108C9"/>
    <w:pPr>
      <w:tabs>
        <w:tab w:val="clear" w:pos="3686"/>
      </w:tabs>
      <w:spacing w:after="100" w:line="276" w:lineRule="auto"/>
      <w:ind w:left="1320"/>
    </w:pPr>
    <w:rPr>
      <w:rFonts w:asciiTheme="minorHAnsi" w:eastAsiaTheme="minorEastAsia" w:hAnsiTheme="minorHAnsi"/>
      <w:color w:val="auto"/>
      <w:lang w:eastAsia="nl-BE"/>
    </w:rPr>
  </w:style>
  <w:style w:type="paragraph" w:styleId="Inhopg8">
    <w:name w:val="toc 8"/>
    <w:basedOn w:val="Standaard"/>
    <w:next w:val="Standaard"/>
    <w:autoRedefine/>
    <w:uiPriority w:val="39"/>
    <w:unhideWhenUsed/>
    <w:rsid w:val="00D108C9"/>
    <w:pPr>
      <w:tabs>
        <w:tab w:val="clear" w:pos="3686"/>
      </w:tabs>
      <w:spacing w:after="100" w:line="276" w:lineRule="auto"/>
      <w:ind w:left="1540"/>
    </w:pPr>
    <w:rPr>
      <w:rFonts w:asciiTheme="minorHAnsi" w:eastAsiaTheme="minorEastAsia" w:hAnsiTheme="minorHAnsi"/>
      <w:color w:val="auto"/>
      <w:lang w:eastAsia="nl-BE"/>
    </w:rPr>
  </w:style>
  <w:style w:type="paragraph" w:styleId="Inhopg9">
    <w:name w:val="toc 9"/>
    <w:basedOn w:val="Standaard"/>
    <w:next w:val="Standaard"/>
    <w:autoRedefine/>
    <w:uiPriority w:val="39"/>
    <w:unhideWhenUsed/>
    <w:rsid w:val="00D108C9"/>
    <w:pPr>
      <w:tabs>
        <w:tab w:val="clear" w:pos="3686"/>
      </w:tabs>
      <w:spacing w:after="100" w:line="276" w:lineRule="auto"/>
      <w:ind w:left="1760"/>
    </w:pPr>
    <w:rPr>
      <w:rFonts w:asciiTheme="minorHAnsi" w:eastAsiaTheme="minorEastAsia" w:hAnsiTheme="minorHAnsi"/>
      <w:color w:val="auto"/>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ther_vanryckegem\.syncclient\1574064534776\gunther.vanryckegem@inbo.be\1hutWV_Ev6AZNtEyp-l9z1wXejUDZ0ySy\INBO%20rapportsjabloon%20v201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9402F-4D74-41C8-B4D6-A893FA4D3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INBO rapportsjabloon v2019-11.dotx</Template>
  <TotalTime>0</TotalTime>
  <Pages>12</Pages>
  <Words>3918</Words>
  <Characters>21555</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RYCKEGEM, Gunther</dc:creator>
  <cp:lastModifiedBy>VANOVERBEKE, Joost</cp:lastModifiedBy>
  <cp:revision>2</cp:revision>
  <cp:lastPrinted>2018-10-12T14:04:00Z</cp:lastPrinted>
  <dcterms:created xsi:type="dcterms:W3CDTF">2021-04-26T10:14:00Z</dcterms:created>
  <dcterms:modified xsi:type="dcterms:W3CDTF">2021-04-26T10:14:00Z</dcterms:modified>
</cp:coreProperties>
</file>