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67C" w:rsidRPr="00B7067C" w:rsidRDefault="00B7067C" w:rsidP="00E94AAC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Linearization</w:t>
      </w:r>
    </w:p>
    <w:p w:rsidR="00E94AAC" w:rsidRDefault="00E94AAC" w:rsidP="00E94AA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this point, </w:t>
      </w:r>
      <w:r w:rsidR="00DA25F5">
        <w:rPr>
          <w:rFonts w:ascii="Cambria" w:eastAsiaTheme="minorEastAsia" w:hAnsi="Cambria"/>
        </w:rPr>
        <w:t xml:space="preserve">noise and background </w:t>
      </w:r>
      <w:r>
        <w:rPr>
          <w:rFonts w:ascii="Cambria" w:eastAsiaTheme="minorEastAsia" w:hAnsi="Cambria"/>
        </w:rPr>
        <w:t>were either eliminated or reduced, and the resolution was improved by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ascii="Cambria" w:eastAsiaTheme="minorEastAsia" w:hAnsi="Cambria"/>
        </w:rPr>
        <w:t xml:space="preserve">. It is nevertheless very important to notice that the brightness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A53A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of each fluorophore is greatly affected in the process</w:t>
      </w:r>
      <w:r w:rsidR="00DA25F5">
        <w:rPr>
          <w:rFonts w:ascii="Cambria" w:eastAsiaTheme="minorEastAsia" w:hAnsi="Cambria"/>
        </w:rPr>
        <w:t xml:space="preserve"> of </w:t>
      </w:r>
      <w:r w:rsidR="004A2D01">
        <w:rPr>
          <w:rFonts w:ascii="Cambria" w:eastAsiaTheme="minorEastAsia" w:hAnsi="Cambria"/>
        </w:rPr>
        <w:t>cross-</w:t>
      </w:r>
      <w:r w:rsidR="00DA25F5">
        <w:rPr>
          <w:rFonts w:ascii="Cambria" w:eastAsiaTheme="minorEastAsia" w:hAnsi="Cambria"/>
        </w:rPr>
        <w:t>cumulant computation</w:t>
      </w:r>
      <w:r>
        <w:rPr>
          <w:rFonts w:ascii="Cambria" w:eastAsiaTheme="minorEastAsia" w:hAnsi="Cambria"/>
        </w:rPr>
        <w:t xml:space="preserve"> which, at high orders, alter</w:t>
      </w:r>
      <w:r w:rsidR="00DA25F5">
        <w:rPr>
          <w:rFonts w:ascii="Cambria" w:eastAsiaTheme="minorEastAsia" w:hAnsi="Cambria"/>
        </w:rPr>
        <w:t>s</w:t>
      </w:r>
      <w:r>
        <w:rPr>
          <w:rFonts w:ascii="Cambria" w:eastAsiaTheme="minorEastAsia" w:hAnsi="Cambria"/>
        </w:rPr>
        <w:t xml:space="preserve"> dramatically the contrast of the SOFI image: small differences in brightness between fluorophores are severely amplified. For example, an emitter that has a 2-fold larger molecular brightness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" w:eastAsiaTheme="minorEastAsia" w:hAnsi="Cambria"/>
        </w:rPr>
        <w:t xml:space="preserve">than another will appear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Cambria" w:eastAsiaTheme="minorEastAsia" w:hAnsi="Cambria"/>
        </w:rPr>
        <w:t xml:space="preserve"> times brighter</w:t>
      </w:r>
      <w:r w:rsidR="004A2D01">
        <w:rPr>
          <w:rFonts w:ascii="Cambria" w:eastAsiaTheme="minorEastAsia" w:hAnsi="Cambria"/>
        </w:rPr>
        <w:t xml:space="preserve"> than the other</w:t>
      </w:r>
      <w:r>
        <w:rPr>
          <w:rFonts w:ascii="Cambria" w:eastAsiaTheme="minorEastAsia" w:hAnsi="Cambria"/>
        </w:rPr>
        <w:t xml:space="preserve"> in the n</w:t>
      </w:r>
      <w:r w:rsidRPr="00474922"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 xml:space="preserve"> order SOFI image. In addition, an emitter that does not fluctuate over time will yi</w:t>
      </w:r>
      <w:r w:rsidR="00DA25F5">
        <w:rPr>
          <w:rFonts w:ascii="Cambria" w:eastAsiaTheme="minorEastAsia" w:hAnsi="Cambria"/>
        </w:rPr>
        <w:t>eld a null cumulant and will thu</w:t>
      </w:r>
      <w:r>
        <w:rPr>
          <w:rFonts w:ascii="Cambria" w:eastAsiaTheme="minorEastAsia" w:hAnsi="Cambria"/>
        </w:rPr>
        <w:t xml:space="preserve">s not appear in the SOFI image. These issues will thereafter be respectively referred to as </w:t>
      </w:r>
      <w:r w:rsidRPr="001F369E">
        <w:rPr>
          <w:rFonts w:ascii="Cambria" w:eastAsiaTheme="minorEastAsia" w:hAnsi="Cambria"/>
          <w:b/>
        </w:rPr>
        <w:t>amplified brightness</w:t>
      </w:r>
      <w:r>
        <w:rPr>
          <w:rFonts w:ascii="Cambria" w:eastAsiaTheme="minorEastAsia" w:hAnsi="Cambria"/>
        </w:rPr>
        <w:t xml:space="preserve"> and </w:t>
      </w:r>
      <w:r w:rsidRPr="001F369E">
        <w:rPr>
          <w:rFonts w:ascii="Cambria" w:eastAsiaTheme="minorEastAsia" w:hAnsi="Cambria"/>
          <w:b/>
        </w:rPr>
        <w:t>blinking heterogeneities</w:t>
      </w:r>
      <w:r>
        <w:rPr>
          <w:rFonts w:ascii="Cambria" w:eastAsiaTheme="minorEastAsia" w:hAnsi="Cambria"/>
        </w:rPr>
        <w:t xml:space="preserve">. </w:t>
      </w:r>
    </w:p>
    <w:p w:rsidR="009B183B" w:rsidRDefault="009B183B" w:rsidP="00E94AA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flattened n</w:t>
      </w:r>
      <w:r w:rsidRPr="00474922"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 xml:space="preserve"> order cross-cumulant can be described by the following equation:</w:t>
      </w:r>
    </w:p>
    <w:p w:rsidR="009B183B" w:rsidRDefault="00255570" w:rsidP="00E94AA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:rsidR="00E94AAC" w:rsidRDefault="00D21813" w:rsidP="00E94AA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</w:t>
      </w:r>
      <w:r w:rsidR="004A6FBA">
        <w:rPr>
          <w:rFonts w:ascii="Cambria" w:eastAsiaTheme="minorEastAsia" w:hAnsi="Cambria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94AAC">
        <w:rPr>
          <w:rFonts w:ascii="Cambria" w:eastAsiaTheme="minorEastAsia" w:hAnsi="Cambria"/>
        </w:rPr>
        <w:t xml:space="preserve"> is a time-varying stochas</w:t>
      </w:r>
      <w:r w:rsidR="000D6D36">
        <w:rPr>
          <w:rFonts w:ascii="Cambria" w:eastAsiaTheme="minorEastAsia" w:hAnsi="Cambria"/>
        </w:rPr>
        <w:t>tic signal t</w:t>
      </w:r>
      <w:r w:rsidR="00B8404E">
        <w:rPr>
          <w:rFonts w:ascii="Cambria" w:eastAsiaTheme="minorEastAsia" w:hAnsi="Cambria"/>
        </w:rPr>
        <w:t xml:space="preserve">hat </w:t>
      </w:r>
      <w:r w:rsidR="000D6D36">
        <w:rPr>
          <w:rFonts w:ascii="Cambria" w:eastAsiaTheme="minorEastAsia" w:hAnsi="Cambria"/>
        </w:rPr>
        <w:t>equal</w:t>
      </w:r>
      <w:r w:rsidR="00B8404E">
        <w:rPr>
          <w:rFonts w:ascii="Cambria" w:eastAsiaTheme="minorEastAsia" w:hAnsi="Cambria"/>
        </w:rPr>
        <w:t>s 1</w:t>
      </w:r>
      <w:r w:rsidR="00E94AAC">
        <w:rPr>
          <w:rFonts w:ascii="Cambria" w:eastAsiaTheme="minorEastAsia" w:hAnsi="Cambria"/>
        </w:rPr>
        <w:t xml:space="preserve"> when the emitter is in the on-state and </w:t>
      </w:r>
      <m:oMath>
        <m:r>
          <w:rPr>
            <w:rFonts w:ascii="Cambria Math" w:eastAsiaTheme="minorEastAsia" w:hAnsi="Cambria Math"/>
          </w:rPr>
          <m:t>ξ∈[0,1[</m:t>
        </m:r>
      </m:oMath>
      <w:r w:rsidR="00E94AAC">
        <w:rPr>
          <w:rFonts w:ascii="Cambria" w:eastAsiaTheme="minorEastAsia" w:hAnsi="Cambria"/>
        </w:rPr>
        <w:t xml:space="preserve"> when it is in the off-state. The relative durations of the on and off-states are respectively:</w:t>
      </w:r>
    </w:p>
    <w:p w:rsidR="00E94AAC" w:rsidRDefault="00255570" w:rsidP="00E94AAC">
      <w:pPr>
        <w:jc w:val="center"/>
        <w:rPr>
          <w:rFonts w:ascii="Cambria" w:eastAsiaTheme="minorEastAsia" w:hAnsi="Cambr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  and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off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on</m:t>
              </m:r>
            </m:sub>
          </m:sSub>
        </m:oMath>
      </m:oMathPara>
    </w:p>
    <w:p w:rsidR="00E94AAC" w:rsidRDefault="00E94AAC" w:rsidP="00E94AA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This blinking behaviour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Cambria" w:eastAsiaTheme="minorEastAsia" w:hAnsi="Cambria"/>
        </w:rPr>
        <w:t xml:space="preserve"> can thus be described by:</w:t>
      </w:r>
    </w:p>
    <w:p w:rsidR="00E94AAC" w:rsidRDefault="00255570" w:rsidP="00E94AA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94AAC" w:rsidRDefault="00E94AAC" w:rsidP="00E94AA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Cambria" w:eastAsiaTheme="minorEastAsia" w:hAnsi="Cambria"/>
        </w:rPr>
        <w:t xml:space="preserve"> defined by a Bernouilli distribution with probability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</m:oMath>
      <w:r>
        <w:rPr>
          <w:rFonts w:ascii="Cambria" w:eastAsiaTheme="minorEastAsia" w:hAnsi="Cambria"/>
        </w:rPr>
        <w:t xml:space="preserve">. In other words, the fluorophore is either in the on state with probability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</m:oMath>
      <w:r>
        <w:rPr>
          <w:rFonts w:ascii="Cambria" w:eastAsiaTheme="minorEastAsia" w:hAnsi="Cambria"/>
        </w:rPr>
        <w:t xml:space="preserve"> or in the off-state with probability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on</m:t>
            </m:r>
          </m:sub>
        </m:sSub>
      </m:oMath>
      <w:r>
        <w:rPr>
          <w:rFonts w:ascii="Cambria" w:eastAsiaTheme="minorEastAsia" w:hAnsi="Cambria"/>
        </w:rPr>
        <w:t xml:space="preserve">. Therefore, the cumulant </w:t>
      </w:r>
      <w:r w:rsidR="00B8404E">
        <w:rPr>
          <w:rFonts w:ascii="Cambria" w:eastAsiaTheme="minorEastAsia" w:hAnsi="Cambria"/>
        </w:rPr>
        <w:t xml:space="preserve">of </w:t>
      </w:r>
      <w:r w:rsidR="000D6D36">
        <w:rPr>
          <w:rFonts w:ascii="Cambria" w:eastAsiaTheme="minorEastAsia" w:hAnsi="Cambria"/>
        </w:rPr>
        <w:t>the stochastic</w:t>
      </w:r>
      <w:r>
        <w:rPr>
          <w:rFonts w:ascii="Cambria" w:eastAsiaTheme="minorEastAsia" w:hAnsi="Cambria"/>
        </w:rPr>
        <w:t xml:space="preserve">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Cambria" w:eastAsiaTheme="minorEastAsia" w:hAnsi="Cambria"/>
        </w:rPr>
        <w:t xml:space="preserve"> is:</w:t>
      </w:r>
    </w:p>
    <w:p w:rsidR="00E94AAC" w:rsidRDefault="00255570" w:rsidP="00E94AA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on,k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on,k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on,k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on,k</m:t>
                  </m:r>
                </m:sub>
              </m:sSub>
            </m:den>
          </m:f>
        </m:oMath>
      </m:oMathPara>
    </w:p>
    <w:p w:rsidR="00E94AAC" w:rsidRDefault="00E94AAC" w:rsidP="00E94AA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on,k</m:t>
            </m:r>
          </m:sub>
        </m:sSub>
      </m:oMath>
      <w:r>
        <w:rPr>
          <w:rFonts w:ascii="Cambria" w:eastAsiaTheme="minorEastAsia" w:hAnsi="Cambria"/>
        </w:rPr>
        <w:t xml:space="preserve">   and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on,k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on,k</m:t>
                </m:r>
              </m:sub>
            </m:sSub>
          </m:e>
        </m:d>
      </m:oMath>
    </w:p>
    <w:p w:rsidR="009430C1" w:rsidRDefault="00E94AAC" w:rsidP="00E94AA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Combin</w:t>
      </w:r>
      <w:r w:rsidR="00BE4243">
        <w:rPr>
          <w:rFonts w:ascii="Cambria" w:eastAsiaTheme="minorEastAsia" w:hAnsi="Cambria"/>
        </w:rPr>
        <w:t>ing this result with</w:t>
      </w:r>
      <w:r w:rsidR="000D6D36">
        <w:rPr>
          <w:rFonts w:ascii="Cambria" w:eastAsiaTheme="minorEastAsia" w:hAnsi="Cambria"/>
        </w:rPr>
        <w:t xml:space="preserve"> equation (1</w:t>
      </w:r>
      <w:r>
        <w:rPr>
          <w:rFonts w:ascii="Cambria" w:eastAsiaTheme="minorEastAsia" w:hAnsi="Cambria"/>
        </w:rPr>
        <w:t xml:space="preserve">) </w:t>
      </w:r>
      <w:r w:rsidR="00BE4243">
        <w:rPr>
          <w:rFonts w:ascii="Cambria" w:eastAsiaTheme="minorEastAsia" w:hAnsi="Cambria"/>
        </w:rPr>
        <w:t xml:space="preserve">leads to the </w:t>
      </w:r>
      <w:r w:rsidR="009430C1">
        <w:rPr>
          <w:rFonts w:ascii="Cambria" w:eastAsiaTheme="minorEastAsia" w:hAnsi="Cambria"/>
        </w:rPr>
        <w:t>following n</w:t>
      </w:r>
      <w:r w:rsidR="009430C1" w:rsidRPr="00255570">
        <w:rPr>
          <w:rFonts w:ascii="Cambria" w:eastAsiaTheme="minorEastAsia" w:hAnsi="Cambria"/>
          <w:vertAlign w:val="superscript"/>
        </w:rPr>
        <w:t>th</w:t>
      </w:r>
      <w:r w:rsidR="009430C1">
        <w:rPr>
          <w:rFonts w:ascii="Cambria" w:eastAsiaTheme="minorEastAsia" w:hAnsi="Cambria"/>
        </w:rPr>
        <w:t xml:space="preserve"> order cross-cumulant:</w:t>
      </w:r>
    </w:p>
    <w:p w:rsidR="009430C1" w:rsidRDefault="00255570" w:rsidP="009430C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on,k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9430C1" w:rsidRDefault="00C912CD" w:rsidP="00E94AA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</w:t>
      </w:r>
      <w:r w:rsidR="009430C1">
        <w:rPr>
          <w:rFonts w:ascii="Cambria" w:eastAsiaTheme="minorEastAsia" w:hAnsi="Cambria"/>
        </w:rPr>
        <w:t xml:space="preserve">here both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ϵ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430C1">
        <w:rPr>
          <w:rFonts w:ascii="Cambria" w:eastAsiaTheme="minorEastAsia" w:hAnsi="Cambr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430C1">
        <w:rPr>
          <w:rFonts w:ascii="Cambria" w:eastAsiaTheme="minorEastAsia" w:hAnsi="Cambria"/>
        </w:rPr>
        <w:t xml:space="preserve"> were written to vary according to spatial coordinates instead of individual fluorophores (i.e. </w:t>
      </w:r>
      <m:oMath>
        <m:r>
          <w:rPr>
            <w:rFonts w:ascii="Cambria Math" w:eastAsiaTheme="minorEastAsia" w:hAnsi="Cambria Math"/>
          </w:rPr>
          <m:t>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/>
          </w:rPr>
          <m:t>≈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9430C1">
        <w:rPr>
          <w:rFonts w:ascii="Cambria" w:eastAsiaTheme="minorEastAsia" w:hAnsi="Cambria"/>
        </w:rPr>
        <w:t>).</w:t>
      </w:r>
    </w:p>
    <w:p w:rsidR="00CD49CE" w:rsidRDefault="00E94AAC" w:rsidP="00E94AA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In order to correct for the amplified brightness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ascii="Cambria" w:eastAsiaTheme="minorEastAsia" w:hAnsi="Cambria"/>
        </w:rPr>
        <w:t xml:space="preserve">, the cumulants </w:t>
      </w:r>
      <w:r w:rsidR="00CD49CE">
        <w:rPr>
          <w:rFonts w:ascii="Cambria" w:eastAsiaTheme="minorEastAsia" w:hAnsi="Cambria"/>
        </w:rPr>
        <w:t>are</w:t>
      </w:r>
      <w:r>
        <w:rPr>
          <w:rFonts w:ascii="Cambria" w:eastAsiaTheme="minorEastAsia" w:hAnsi="Cambria"/>
        </w:rPr>
        <w:t xml:space="preserve"> deconvolved </w:t>
      </w:r>
      <w:r w:rsidR="00C912CD">
        <w:rPr>
          <w:rFonts w:ascii="Cambria" w:eastAsiaTheme="minorEastAsia" w:hAnsi="Cambria"/>
        </w:rPr>
        <w:t xml:space="preserve">with an estimate of the point-spread function. </w:t>
      </w:r>
      <w:r>
        <w:rPr>
          <w:rFonts w:ascii="Cambria" w:eastAsiaTheme="minorEastAsia" w:hAnsi="Cambria"/>
        </w:rPr>
        <w:t xml:space="preserve">Assuming a perfect deconvolution, the result can be interpreted as </w:t>
      </w:r>
      <w:r w:rsidR="00CD49CE">
        <w:rPr>
          <w:rFonts w:ascii="Cambria" w:eastAsiaTheme="minorEastAsia" w:hAnsi="Cambria"/>
        </w:rPr>
        <w:t>follows:</w:t>
      </w:r>
    </w:p>
    <w:p w:rsidR="00CD49CE" w:rsidRDefault="00255570" w:rsidP="00E94AA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>…I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CD49CE" w:rsidRDefault="00CD49CE" w:rsidP="00E94AA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Since each point-spread function has been reduced to </w:t>
      </w:r>
      <w:r w:rsidR="00255570">
        <w:rPr>
          <w:rFonts w:ascii="Cambria" w:eastAsiaTheme="minorEastAsia" w:hAnsi="Cambria"/>
        </w:rPr>
        <w:t>a Dirac pulse</w:t>
      </w:r>
      <w:bookmarkStart w:id="0" w:name="_GoBack"/>
      <w:bookmarkEnd w:id="0"/>
      <w:r>
        <w:rPr>
          <w:rFonts w:ascii="Cambria" w:eastAsiaTheme="minorEastAsia" w:hAnsi="Cambria"/>
        </w:rPr>
        <w:t>, t</w:t>
      </w:r>
      <w:r w:rsidR="00E94AAC">
        <w:rPr>
          <w:rFonts w:ascii="Cambria" w:eastAsiaTheme="minorEastAsia" w:hAnsi="Cambria"/>
        </w:rPr>
        <w:t>aking the n</w:t>
      </w:r>
      <w:r w:rsidR="00E94AAC" w:rsidRPr="00CD49CE">
        <w:rPr>
          <w:rFonts w:ascii="Cambria" w:eastAsiaTheme="minorEastAsia" w:hAnsi="Cambria"/>
          <w:vertAlign w:val="superscript"/>
        </w:rPr>
        <w:t>th</w:t>
      </w:r>
      <w:r w:rsidR="00E94AAC">
        <w:rPr>
          <w:rFonts w:ascii="Cambria" w:eastAsiaTheme="minorEastAsia" w:hAnsi="Cambria"/>
        </w:rPr>
        <w:t xml:space="preserve"> root linearizes the brightness response without cancelling the resolution improvement of the cumulant. </w:t>
      </w:r>
      <w:r>
        <w:rPr>
          <w:rFonts w:ascii="Cambria" w:eastAsiaTheme="minorEastAsia" w:hAnsi="Cambria"/>
        </w:rPr>
        <w:t>The linearized cumulant can be expressed by:</w:t>
      </w:r>
    </w:p>
    <w:p w:rsidR="00CD49CE" w:rsidRDefault="00255570" w:rsidP="00E94AA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E94AAC" w:rsidRDefault="00E94AAC" w:rsidP="00E94AAC"/>
    <w:p w:rsidR="007071B0" w:rsidRDefault="007071B0"/>
    <w:sectPr w:rsidR="0070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51"/>
    <w:rsid w:val="000D6D36"/>
    <w:rsid w:val="001F369E"/>
    <w:rsid w:val="00255570"/>
    <w:rsid w:val="00474922"/>
    <w:rsid w:val="004A2D01"/>
    <w:rsid w:val="004A6FBA"/>
    <w:rsid w:val="007071B0"/>
    <w:rsid w:val="007E1169"/>
    <w:rsid w:val="007F5951"/>
    <w:rsid w:val="00930B50"/>
    <w:rsid w:val="009430C1"/>
    <w:rsid w:val="009A53A3"/>
    <w:rsid w:val="009B183B"/>
    <w:rsid w:val="00A756E6"/>
    <w:rsid w:val="00B7067C"/>
    <w:rsid w:val="00B8404E"/>
    <w:rsid w:val="00BE4243"/>
    <w:rsid w:val="00C912CD"/>
    <w:rsid w:val="00CD49CE"/>
    <w:rsid w:val="00D21813"/>
    <w:rsid w:val="00DA25F5"/>
    <w:rsid w:val="00E94AAC"/>
    <w:rsid w:val="00EC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7A3CA-79AE-4649-BB63-9FB4B056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AC"/>
    <w:pPr>
      <w:spacing w:line="25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A53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Girsault</dc:creator>
  <cp:keywords/>
  <dc:description/>
  <cp:lastModifiedBy>Arik Girsault</cp:lastModifiedBy>
  <cp:revision>19</cp:revision>
  <dcterms:created xsi:type="dcterms:W3CDTF">2015-03-17T13:13:00Z</dcterms:created>
  <dcterms:modified xsi:type="dcterms:W3CDTF">2015-04-13T17:12:00Z</dcterms:modified>
</cp:coreProperties>
</file>