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6C95C9E" w:rsidR="008F409C" w:rsidRPr="005F18CD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3054CE4C" w14:textId="5B6BAE90" w:rsidR="000E1704" w:rsidRDefault="005F18CD" w:rsidP="005F18CD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folder.</w:t>
      </w:r>
      <w:r w:rsidR="000E1704">
        <w:t xml:space="preserve"> To see the demos, click </w:t>
      </w:r>
      <w:r w:rsidR="009B100C">
        <w:t xml:space="preserve">the </w:t>
      </w:r>
      <w:r w:rsidR="000E1704" w:rsidRPr="000E1704">
        <w:rPr>
          <w:b/>
          <w:bCs/>
          <w:i/>
          <w:iCs/>
        </w:rPr>
        <w:t>Open</w:t>
      </w:r>
      <w:r w:rsidR="000E1704" w:rsidRPr="000E1704">
        <w:t xml:space="preserve"> button </w:t>
      </w:r>
      <w:r w:rsidR="000E1704">
        <w:t xml:space="preserve">(1), navigate to </w:t>
      </w:r>
      <w:r w:rsidR="009B100C">
        <w:t xml:space="preserve">the </w:t>
      </w:r>
      <w:r w:rsidR="000E1704" w:rsidRPr="005F18CD">
        <w:rPr>
          <w:b/>
          <w:bCs/>
          <w:i/>
          <w:iCs/>
        </w:rPr>
        <w:t>Example</w:t>
      </w:r>
      <w:r w:rsidR="000E1704">
        <w:rPr>
          <w:b/>
          <w:bCs/>
          <w:i/>
          <w:iCs/>
        </w:rPr>
        <w:t>s</w:t>
      </w:r>
      <w:r w:rsidR="000E1704" w:rsidRPr="000E1704">
        <w:t xml:space="preserve"> folder</w:t>
      </w:r>
      <w:r w:rsidR="009B100C">
        <w:t>,</w:t>
      </w:r>
      <w:r w:rsidR="000E1704">
        <w:t xml:space="preserve"> and select a project. </w:t>
      </w:r>
      <w:r w:rsidR="007A2AF9">
        <w:t xml:space="preserve">Go to </w:t>
      </w:r>
      <w:r w:rsidR="009B100C">
        <w:t xml:space="preserve">the </w:t>
      </w:r>
      <w:r w:rsidR="007A2AF9" w:rsidRPr="007A2AF9">
        <w:rPr>
          <w:b/>
          <w:bCs/>
          <w:i/>
          <w:iCs/>
        </w:rPr>
        <w:t>Calc</w:t>
      </w:r>
      <w:r w:rsidR="007A2AF9">
        <w:t xml:space="preserve"> </w:t>
      </w:r>
      <w:r w:rsidR="009B65AA">
        <w:t xml:space="preserve">tab </w:t>
      </w:r>
      <w:r w:rsidR="007A2AF9">
        <w:t xml:space="preserve">and click </w:t>
      </w:r>
      <w:r w:rsidR="009B100C">
        <w:t xml:space="preserve">the </w:t>
      </w:r>
      <w:r w:rsidR="007A2AF9" w:rsidRPr="007A2AF9">
        <w:rPr>
          <w:b/>
          <w:bCs/>
          <w:i/>
          <w:iCs/>
        </w:rPr>
        <w:t>Calc</w:t>
      </w:r>
      <w:r w:rsidR="007A2AF9" w:rsidRPr="007A2AF9">
        <w:t xml:space="preserve"> button</w:t>
      </w:r>
      <w:r w:rsidR="007A2AF9">
        <w:t xml:space="preserve"> (4) (Or press F5).</w:t>
      </w:r>
    </w:p>
    <w:p w14:paraId="0723EEE8" w14:textId="6BEBB6C0" w:rsidR="007A2AF9" w:rsidRPr="007A2AF9" w:rsidRDefault="007A2AF9" w:rsidP="005F18CD">
      <w:r w:rsidRPr="007A2AF9">
        <w:rPr>
          <w:noProof/>
        </w:rPr>
        <w:drawing>
          <wp:inline distT="0" distB="0" distL="0" distR="0" wp14:anchorId="4CCEE1C7" wp14:editId="31D3CF9B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C68" w14:textId="191394E9" w:rsidR="007A2AF9" w:rsidRDefault="007A2AF9" w:rsidP="005F18CD">
      <w:r w:rsidRPr="007A2AF9">
        <w:rPr>
          <w:noProof/>
        </w:rPr>
        <w:drawing>
          <wp:inline distT="0" distB="0" distL="0" distR="0" wp14:anchorId="1F4473F5" wp14:editId="040F4B15">
            <wp:extent cx="5943600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7BD" w14:textId="25D04859" w:rsidR="005F18CD" w:rsidRDefault="0027165D" w:rsidP="005F18CD">
      <w:r>
        <w:t>There</w:t>
      </w:r>
      <w:r w:rsidR="005F18CD">
        <w:t xml:space="preserve"> are the following projects: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76B329AB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73D8A9A5" w14:textId="7AA1C97C" w:rsidR="00095CCF" w:rsidRPr="009B65AA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Please note, that the </w:t>
      </w:r>
      <w:r w:rsidR="00E30A4C" w:rsidRPr="00E30A4C">
        <w:rPr>
          <w:b/>
          <w:bCs/>
          <w:i/>
          <w:iCs/>
        </w:rPr>
        <w:t>Legend</w:t>
      </w:r>
      <w:r w:rsidR="00E30A4C">
        <w:t xml:space="preserve"> on the </w:t>
      </w:r>
      <w:bookmarkStart w:id="0" w:name="_GoBack"/>
      <w:r w:rsidR="00E30A4C" w:rsidRPr="00E30A4C">
        <w:rPr>
          <w:b/>
          <w:bCs/>
          <w:i/>
          <w:iCs/>
        </w:rPr>
        <w:t>Plot</w:t>
      </w:r>
      <w:bookmarkEnd w:id="0"/>
      <w:r w:rsidR="00E30A4C">
        <w:t xml:space="preserve"> cold be used to control visibility of curves.</w:t>
      </w:r>
      <w:r w:rsidR="000409D0" w:rsidRPr="000409D0">
        <w:t xml:space="preserve"> </w:t>
      </w:r>
    </w:p>
    <w:p w14:paraId="655D6470" w14:textId="45FD07E5" w:rsidR="000476EC" w:rsidRDefault="000476EC" w:rsidP="000476EC"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0476EC">
        <w:t xml:space="preserve"> pane 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p w14:paraId="63BCEBA3" w14:textId="474FD1B6" w:rsidR="00095CCF" w:rsidRDefault="00095CCF" w:rsidP="00E419FA">
      <w:r>
        <w:rPr>
          <w:noProof/>
        </w:rPr>
        <w:drawing>
          <wp:inline distT="0" distB="0" distL="0" distR="0" wp14:anchorId="430FF24B" wp14:editId="1314ED89">
            <wp:extent cx="950563" cy="236201"/>
            <wp:effectExtent l="0" t="0" r="254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2" cy="2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These controls allow switching between the Linear/Log scale of the reflectivity plot and set the background level.</w:t>
      </w:r>
    </w:p>
    <w:p w14:paraId="32040B4F" w14:textId="18EB87BB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rgUA240kDCwAAAA="/>
  </w:docVars>
  <w:rsids>
    <w:rsidRoot w:val="00561484"/>
    <w:rsid w:val="000409D0"/>
    <w:rsid w:val="000476EC"/>
    <w:rsid w:val="00095CCF"/>
    <w:rsid w:val="000E1704"/>
    <w:rsid w:val="00176D6F"/>
    <w:rsid w:val="0027165D"/>
    <w:rsid w:val="005508CA"/>
    <w:rsid w:val="00556708"/>
    <w:rsid w:val="00561484"/>
    <w:rsid w:val="005F18CD"/>
    <w:rsid w:val="007A2AF9"/>
    <w:rsid w:val="008F409C"/>
    <w:rsid w:val="009B100C"/>
    <w:rsid w:val="009B65AA"/>
    <w:rsid w:val="00AA04A7"/>
    <w:rsid w:val="00BC7EB2"/>
    <w:rsid w:val="00E30A4C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12</cp:revision>
  <cp:lastPrinted>2020-02-19T04:57:00Z</cp:lastPrinted>
  <dcterms:created xsi:type="dcterms:W3CDTF">2020-02-19T04:57:00Z</dcterms:created>
  <dcterms:modified xsi:type="dcterms:W3CDTF">2020-02-20T08:50:00Z</dcterms:modified>
</cp:coreProperties>
</file>