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FICHE AIPD / DPIA – PROJET HUMAN–AI INTERACTION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Analyse d’Impact relative à la Protection des Données (RGPD, art. 35) – compatible AI Act (art. 9–15)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Description du traitement / système IA</w:t>
      </w:r>
    </w:p>
    <w:p>
      <w:pPr>
        <w:pStyle w:val="Normal"/>
        <w:rPr/>
      </w:pPr>
      <w:r>
        <w:rPr/>
        <w:t>Décrivez brièvement : la finalité du système, les acteurs impliqués (fournisseur, déployeur, utilisateur), et les données traitées (catégories, volume, origine, durée de conservation).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 du projet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Finalité du traitement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Catégories de données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Durée de conservation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Acteurs / rôles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Nécessité et proportionnalité</w:t>
      </w:r>
    </w:p>
    <w:p>
      <w:pPr>
        <w:pStyle w:val="Normal"/>
        <w:rPr/>
      </w:pPr>
      <w:r>
        <w:rPr/>
        <w:t>Expliquez en quoi le traitement est nécessaire pour atteindre la finalité annoncée et comment les principes de minimisation, exactitude et limitation sont respectés.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Justification du traitement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Mesures de minimisation des données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Conservation et effacement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</w:tbl>
    <w:p>
      <w:pPr>
        <w:pStyle w:val="Heading2"/>
        <w:rPr/>
      </w:pPr>
      <w:r>
        <w:rPr/>
        <w:t>Analyse des risques pour les droits et libertés</w:t>
      </w:r>
    </w:p>
    <w:p>
      <w:pPr>
        <w:pStyle w:val="Normal"/>
        <w:rPr/>
      </w:pPr>
      <w:r>
        <w:rPr/>
        <w:t>Identifiez les risques potentiels (atteinte à la vie privée, biais algorithmique, réidentification, accès non autorisé, conservation excessive, etc.) et évaluez leur gravité et vraisemblance.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Risque identifié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Gravité (faible / moyenne / forte)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Vraisemblance (faible / moyenne / forte)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</w:tbl>
    <w:p>
      <w:pPr>
        <w:pStyle w:val="Heading2"/>
        <w:rPr/>
      </w:pPr>
      <w:r>
        <w:rPr/>
        <w:t>Mesures d’atténuation prévues</w:t>
      </w:r>
    </w:p>
    <w:p>
      <w:pPr>
        <w:pStyle w:val="Normal"/>
        <w:rPr/>
      </w:pPr>
      <w:r>
        <w:rPr/>
        <w:t>Indiquez les mesures techniques, organisationnelles ou juridiques permettant de réduire le risque (pseudonymisation, chiffrement, consentement, contrôle d’accès, documentation, supervision humaine).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Mesure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Effet attendu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</w:tbl>
    <w:p>
      <w:pPr>
        <w:pStyle w:val="Heading2"/>
        <w:rPr/>
      </w:pPr>
      <w:r>
        <w:rPr/>
        <w:t>Décision et suivi</w:t>
      </w:r>
    </w:p>
    <w:p>
      <w:pPr>
        <w:pStyle w:val="Normal"/>
        <w:rPr/>
      </w:pPr>
      <w:r>
        <w:rPr/>
        <w:t>Concluez sur le niveau de risque résiduel et la nécessité (ou non) d’une consultation auprès de la CNIL. Précisez le plan de réévaluation (post-market monitoring).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Niveau de risque résiduel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Consultation CNIL requise ?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Plan de révision / suivi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Application>LibreOffice/24.2.7.2$Linux_X86_64 LibreOffice_project/420$Build-2</Application>
  <AppVersion>15.0000</AppVersion>
  <Pages>2</Pages>
  <Words>247</Words>
  <Characters>1467</Characters>
  <CharactersWithSpaces>1658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2025-10-20T12:59:28Z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