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e731c14b0cd8ef2e2729a708fe7aea864d1720"/>
    <w:p>
      <w:pPr>
        <w:pStyle w:val="Heading1"/>
      </w:pPr>
      <w:r>
        <w:t xml:space="preserve">Prompt engineering and the future of robotics</w:t>
      </w:r>
    </w:p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Prompt engineering (PE) — crafting inputs and interaction patterns for large language models (LLMs) — is emerging as a practical interface layer between human intent and robotic systems. PE combined with embodied models, tool-using LLMs, and sim-to-real techniques enables robots to parse high-level goals, decompose tasks, and orchestrate lower-level controllers. Key trends: chain-of-thought and agentic prompting to plan, tool-use frameworks (ReAct, Toolformer) to invoke skills, and sim-to-real transfer (domain randomization, physics sim) to close the loop between virtual training and physical robots.</w:t>
      </w:r>
      <w:r>
        <w:rPr>
          <w:rStyle w:val="FootnoteReference"/>
        </w:rPr>
        <w:footnoteReference w:id="9"/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1"/>
      </w:r>
      <w:r>
        <w:rPr>
          <w:rStyle w:val="FootnoteReference"/>
        </w:rPr>
        <w:footnoteReference w:id="12"/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4"/>
      </w:r>
      <w:r>
        <w:rPr>
          <w:rStyle w:val="FootnoteReference"/>
        </w:rPr>
        <w:footnoteReference w:id="15"/>
      </w:r>
      <w:r>
        <w:rPr>
          <w:rStyle w:val="FootnoteReference"/>
        </w:rPr>
        <w:footnoteReference w:id="16"/>
      </w:r>
    </w:p>
    <w:bookmarkEnd w:id="17"/>
    <w:bookmarkStart w:id="18" w:name="step-1-clarify-intent-assumptions"/>
    <w:p>
      <w:pPr>
        <w:pStyle w:val="Heading2"/>
      </w:pPr>
      <w:r>
        <w:t xml:space="preserve">STEP 1: Clarify intent &amp; assumptions</w:t>
      </w:r>
    </w:p>
    <w:p>
      <w:pPr>
        <w:pStyle w:val="Compact"/>
        <w:numPr>
          <w:ilvl w:val="0"/>
          <w:numId w:val="1001"/>
        </w:numPr>
      </w:pPr>
      <w:r>
        <w:t xml:space="preserve">User goal assumed: evaluate how prompt engineering will shape robotic capability, design patterns, and deployment practicalities.</w:t>
      </w:r>
    </w:p>
    <w:p>
      <w:pPr>
        <w:pStyle w:val="Compact"/>
        <w:numPr>
          <w:ilvl w:val="0"/>
          <w:numId w:val="1001"/>
        </w:numPr>
      </w:pPr>
      <w:r>
        <w:t xml:space="preserve">Constraints assumed: general research (no proprietary internal code), interest in near- to mid-term (1–5 years) impacts, focus on software and system design rather than hardware manufacture.</w:t>
      </w:r>
    </w:p>
    <w:bookmarkEnd w:id="18"/>
    <w:bookmarkStart w:id="19" w:name="step-2-problem-breakdown"/>
    <w:p>
      <w:pPr>
        <w:pStyle w:val="Heading2"/>
      </w:pPr>
      <w:r>
        <w:t xml:space="preserve">STEP 2: Problem breakdown</w:t>
      </w:r>
    </w:p>
    <w:p>
      <w:pPr>
        <w:pStyle w:val="Compact"/>
        <w:numPr>
          <w:ilvl w:val="0"/>
          <w:numId w:val="1002"/>
        </w:numPr>
      </w:pPr>
      <w:r>
        <w:t xml:space="preserve">Human-to-robot interface: natural-language grounding, instruction parsing, and intent disambiguation.</w:t>
      </w:r>
    </w:p>
    <w:p>
      <w:pPr>
        <w:pStyle w:val="Compact"/>
        <w:numPr>
          <w:ilvl w:val="0"/>
          <w:numId w:val="1002"/>
        </w:numPr>
      </w:pPr>
      <w:r>
        <w:t xml:space="preserve">Task decomposition and planning: LLM-based planning vs classical planners.</w:t>
      </w:r>
    </w:p>
    <w:p>
      <w:pPr>
        <w:pStyle w:val="Compact"/>
        <w:numPr>
          <w:ilvl w:val="0"/>
          <w:numId w:val="1002"/>
        </w:numPr>
      </w:pPr>
      <w:r>
        <w:t xml:space="preserve">Skill execution: mapping high-level actions to controllers and perception.</w:t>
      </w:r>
    </w:p>
    <w:p>
      <w:pPr>
        <w:pStyle w:val="Compact"/>
        <w:numPr>
          <w:ilvl w:val="0"/>
          <w:numId w:val="1002"/>
        </w:numPr>
      </w:pPr>
      <w:r>
        <w:t xml:space="preserve">Safety, verification, and latent failure modes.</w:t>
      </w:r>
    </w:p>
    <w:p>
      <w:pPr>
        <w:pStyle w:val="Compact"/>
        <w:numPr>
          <w:ilvl w:val="0"/>
          <w:numId w:val="1002"/>
        </w:numPr>
      </w:pPr>
      <w:r>
        <w:t xml:space="preserve">Training &amp; deployment infrastructure: simulation, data pipelines, RL/fine-tuning.</w:t>
      </w:r>
    </w:p>
    <w:bookmarkEnd w:id="19"/>
    <w:bookmarkStart w:id="27" w:name="step-3-research-reasoning-synthesis"/>
    <w:p>
      <w:pPr>
        <w:pStyle w:val="Heading2"/>
      </w:pPr>
      <w:r>
        <w:t xml:space="preserve">STEP 3: Research &amp; Reasoning (synthesis)</w:t>
      </w:r>
    </w:p>
    <w:p>
      <w:pPr>
        <w:pStyle w:val="Compact"/>
        <w:numPr>
          <w:ilvl w:val="0"/>
          <w:numId w:val="1003"/>
        </w:numPr>
      </w:pPr>
      <w:r>
        <w:t xml:space="preserve">Prompt engineering provides a flexible, updatable layer to express high-level goals, constraints, and context to an LLM that orchestrates robot behavior</w:t>
      </w:r>
      <w:r>
        <w:rPr>
          <w:rStyle w:val="FootnoteReference"/>
        </w:rPr>
        <w:footnoteReference w:id="20"/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Prompt patterns like few-shot examples, chain-of-thought, and structured templates improve reliability for multi-step task decomposition</w:t>
      </w:r>
      <w:r>
        <w:rPr>
          <w:rStyle w:val="FootnoteReference"/>
        </w:rPr>
        <w:footnoteReference w:id="21"/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Agentic prompting frameworks (ReAct) combine reasoning traces and intermediate actions (tool calls) — this matches robotics workflows where an LLM must query sensors, call controllers, or consult planners</w:t>
      </w:r>
      <w:r>
        <w:rPr>
          <w:rStyle w:val="FootnoteReference"/>
        </w:rPr>
        <w:footnoteReference w:id="22"/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Tool-use and self-supervision: Toolformer and similar approaches let LLMs learn when/how to call external APIs (robot skills, perception modules), reducing brittle prompt hacks and enabling learned invocation policies</w:t>
      </w:r>
      <w:r>
        <w:rPr>
          <w:rStyle w:val="FootnoteReference"/>
        </w:rPr>
        <w:footnoteReference w:id="23"/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Sim-to-real and data efficiency: Domain randomization and physics-aware simulation remain critical to bridge sim-trained skills to hardware — LLMs can propose symbolic plans, but low-level policies still require RL or control-theoretic methods trained in sim (Isaac Sim, MuJoCo) and adapted via transfer techniques</w:t>
      </w:r>
      <w:r>
        <w:rPr>
          <w:rStyle w:val="FootnoteReference"/>
        </w:rPr>
        <w:footnoteReference w:id="24"/>
      </w:r>
      <w:r>
        <w:rPr>
          <w:rStyle w:val="FootnoteReference"/>
        </w:rPr>
        <w:footnoteReference w:id="25"/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Grounding language in perception/action: Methods like SayCan illustrate grounding LLMs by combining skill affordances (value functions) with language likelihood to choose feasible actions; this hybrid is likely to be standard practice</w:t>
      </w:r>
      <w:r>
        <w:rPr>
          <w:rStyle w:val="FootnoteReference"/>
        </w:rPr>
        <w:footnoteReference w:id="26"/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Safety &amp; verification: Natural-language interfaces introduce ambiguity; verification requires (a) constraining prompts with formal pre/postconditions, (b) running plan validators/simulated rollouts, and (c) human-in-the-loop approval for risky steps.</w:t>
      </w:r>
    </w:p>
    <w:bookmarkEnd w:id="27"/>
    <w:bookmarkStart w:id="28" w:name="X36c350a2d4c359d4a1740d7dfd9d78d8a7db34a"/>
    <w:p>
      <w:pPr>
        <w:pStyle w:val="Heading2"/>
      </w:pPr>
      <w:r>
        <w:t xml:space="preserve">STEP 4: Recommendations (3–5 actionable, non-generic)</w:t>
      </w:r>
    </w:p>
    <w:p>
      <w:pPr>
        <w:pStyle w:val="Compact"/>
        <w:numPr>
          <w:ilvl w:val="0"/>
          <w:numId w:val="1005"/>
        </w:numPr>
      </w:pPr>
      <w:r>
        <w:t xml:space="preserve">Adopt an LLM-as-orchestrator architecture (Recommended for prototyping)</w:t>
      </w:r>
    </w:p>
    <w:p>
      <w:pPr>
        <w:pStyle w:val="Compact"/>
        <w:numPr>
          <w:ilvl w:val="1"/>
          <w:numId w:val="1006"/>
        </w:numPr>
      </w:pPr>
      <w:r>
        <w:t xml:space="preserve">Why: Rapidly iterates on high-level behaviors without rewriting planners.</w:t>
      </w:r>
    </w:p>
    <w:p>
      <w:pPr>
        <w:pStyle w:val="Compact"/>
        <w:numPr>
          <w:ilvl w:val="1"/>
          <w:numId w:val="1006"/>
        </w:numPr>
      </w:pPr>
      <w:r>
        <w:t xml:space="preserve">Pros: Fast experimentation, natural-language-driven behavior changes, easy to A/B prompt templates.</w:t>
      </w:r>
    </w:p>
    <w:p>
      <w:pPr>
        <w:pStyle w:val="Compact"/>
        <w:numPr>
          <w:ilvl w:val="1"/>
          <w:numId w:val="1006"/>
        </w:numPr>
      </w:pPr>
      <w:r>
        <w:t xml:space="preserve">Cons: Latency, nondeterminism, and need for robust grounding to avoid unsafe actions.</w:t>
      </w:r>
    </w:p>
    <w:p>
      <w:pPr>
        <w:pStyle w:val="Compact"/>
        <w:numPr>
          <w:ilvl w:val="1"/>
          <w:numId w:val="1006"/>
        </w:numPr>
      </w:pPr>
      <w:r>
        <w:t xml:space="preserve">Best when: Early-stage product or research where task diversity is high.</w:t>
      </w:r>
    </w:p>
    <w:p>
      <w:pPr>
        <w:pStyle w:val="Compact"/>
        <w:numPr>
          <w:ilvl w:val="0"/>
          <w:numId w:val="1005"/>
        </w:numPr>
      </w:pPr>
      <w:r>
        <w:t xml:space="preserve">Implement explicit</w:t>
      </w:r>
      <w:r>
        <w:t xml:space="preserve"> </w:t>
      </w:r>
      <w:r>
        <w:t xml:space="preserve">“skill”</w:t>
      </w:r>
      <w:r>
        <w:t xml:space="preserve"> </w:t>
      </w:r>
      <w:r>
        <w:t xml:space="preserve">APIs with typed inputs/outputs and affordance scores</w:t>
      </w:r>
    </w:p>
    <w:p>
      <w:pPr>
        <w:pStyle w:val="Compact"/>
        <w:numPr>
          <w:ilvl w:val="1"/>
          <w:numId w:val="1007"/>
        </w:numPr>
      </w:pPr>
      <w:r>
        <w:t xml:space="preserve">Why: Decouples planning (LLM) from execution (controllers); enables SayCan-style grounding.</w:t>
      </w:r>
    </w:p>
    <w:p>
      <w:pPr>
        <w:pStyle w:val="Compact"/>
        <w:numPr>
          <w:ilvl w:val="1"/>
          <w:numId w:val="1007"/>
        </w:numPr>
      </w:pPr>
      <w:r>
        <w:t xml:space="preserve">Pros: Safer execution, easier testing, supports automatic selection of feasible skills.</w:t>
      </w:r>
    </w:p>
    <w:p>
      <w:pPr>
        <w:pStyle w:val="Compact"/>
        <w:numPr>
          <w:ilvl w:val="1"/>
          <w:numId w:val="1007"/>
        </w:numPr>
      </w:pPr>
      <w:r>
        <w:t xml:space="preserve">Cons: Requires engineering to wrap controllers and expose reliable affordances.</w:t>
      </w:r>
    </w:p>
    <w:p>
      <w:pPr>
        <w:pStyle w:val="Compact"/>
        <w:numPr>
          <w:ilvl w:val="1"/>
          <w:numId w:val="1007"/>
        </w:numPr>
      </w:pPr>
      <w:r>
        <w:t xml:space="preserve">Best when: Moving from prototype to field trials where safety and predictability matter.</w:t>
      </w:r>
    </w:p>
    <w:p>
      <w:pPr>
        <w:pStyle w:val="Compact"/>
        <w:numPr>
          <w:ilvl w:val="0"/>
          <w:numId w:val="1005"/>
        </w:numPr>
      </w:pPr>
      <w:r>
        <w:t xml:space="preserve">Use tool-use fine-tuning (Toolformer-style) + ReAct prompting for robust tool selection</w:t>
      </w:r>
    </w:p>
    <w:p>
      <w:pPr>
        <w:pStyle w:val="Compact"/>
        <w:numPr>
          <w:ilvl w:val="1"/>
          <w:numId w:val="1008"/>
        </w:numPr>
      </w:pPr>
      <w:r>
        <w:t xml:space="preserve">Why: Trains the LLM to call tools when beneficial and to produce action traces that aid auditing and debugging.</w:t>
      </w:r>
    </w:p>
    <w:p>
      <w:pPr>
        <w:pStyle w:val="Compact"/>
        <w:numPr>
          <w:ilvl w:val="1"/>
          <w:numId w:val="1008"/>
        </w:numPr>
      </w:pPr>
      <w:r>
        <w:t xml:space="preserve">Pros: Improves reliability of API calls and enables richer observability.</w:t>
      </w:r>
    </w:p>
    <w:p>
      <w:pPr>
        <w:pStyle w:val="Compact"/>
        <w:numPr>
          <w:ilvl w:val="1"/>
          <w:numId w:val="1008"/>
        </w:numPr>
      </w:pPr>
      <w:r>
        <w:t xml:space="preserve">Cons: Requires dataset curation and compute for fine-tuning.</w:t>
      </w:r>
    </w:p>
    <w:p>
      <w:pPr>
        <w:pStyle w:val="Compact"/>
        <w:numPr>
          <w:ilvl w:val="1"/>
          <w:numId w:val="1008"/>
        </w:numPr>
      </w:pPr>
      <w:r>
        <w:t xml:space="preserve">Best when: Deploying LLMs that must orchestrate many discrete skills or external services.</w:t>
      </w:r>
    </w:p>
    <w:p>
      <w:pPr>
        <w:pStyle w:val="Compact"/>
        <w:numPr>
          <w:ilvl w:val="0"/>
          <w:numId w:val="1005"/>
        </w:numPr>
      </w:pPr>
      <w:r>
        <w:t xml:space="preserve">Invest in high-fidelity sim + domain randomization pipeline (Isaac Sim / custom)</w:t>
      </w:r>
    </w:p>
    <w:p>
      <w:pPr>
        <w:pStyle w:val="Compact"/>
        <w:numPr>
          <w:ilvl w:val="1"/>
          <w:numId w:val="1009"/>
        </w:numPr>
      </w:pPr>
      <w:r>
        <w:t xml:space="preserve">Why: RL and low-level controllers still need sim data to be sample-efficient and safe.</w:t>
      </w:r>
    </w:p>
    <w:p>
      <w:pPr>
        <w:pStyle w:val="Compact"/>
        <w:numPr>
          <w:ilvl w:val="1"/>
          <w:numId w:val="1009"/>
        </w:numPr>
      </w:pPr>
      <w:r>
        <w:t xml:space="preserve">Pros: Faster iteration, safer testing, ability to validate LLM-planned sequences before hardware execution.</w:t>
      </w:r>
    </w:p>
    <w:p>
      <w:pPr>
        <w:pStyle w:val="Compact"/>
        <w:numPr>
          <w:ilvl w:val="1"/>
          <w:numId w:val="1009"/>
        </w:numPr>
      </w:pPr>
      <w:r>
        <w:t xml:space="preserve">Cons: Cost of compute and simulation engineering.</w:t>
      </w:r>
    </w:p>
    <w:p>
      <w:pPr>
        <w:pStyle w:val="Compact"/>
        <w:numPr>
          <w:ilvl w:val="1"/>
          <w:numId w:val="1009"/>
        </w:numPr>
      </w:pPr>
      <w:r>
        <w:t xml:space="preserve">Best when: Developing systems intended for physical deployment.</w:t>
      </w:r>
    </w:p>
    <w:p>
      <w:pPr>
        <w:pStyle w:val="Compact"/>
        <w:numPr>
          <w:ilvl w:val="0"/>
          <w:numId w:val="1005"/>
        </w:numPr>
      </w:pPr>
      <w:r>
        <w:t xml:space="preserve">Build layered verification: plan-check -&gt; sim-rollout -&gt; human approval -&gt; execution</w:t>
      </w:r>
    </w:p>
    <w:p>
      <w:pPr>
        <w:pStyle w:val="Compact"/>
        <w:numPr>
          <w:ilvl w:val="1"/>
          <w:numId w:val="1010"/>
        </w:numPr>
      </w:pPr>
      <w:r>
        <w:t xml:space="preserve">Why: Mitigates ambiguous language and non-determinism.</w:t>
      </w:r>
    </w:p>
    <w:p>
      <w:pPr>
        <w:pStyle w:val="Compact"/>
        <w:numPr>
          <w:ilvl w:val="1"/>
          <w:numId w:val="1010"/>
        </w:numPr>
      </w:pPr>
      <w:r>
        <w:t xml:space="preserve">Pros: Reduces catastrophic failures, provides audit trails.</w:t>
      </w:r>
    </w:p>
    <w:p>
      <w:pPr>
        <w:pStyle w:val="Compact"/>
        <w:numPr>
          <w:ilvl w:val="1"/>
          <w:numId w:val="1010"/>
        </w:numPr>
      </w:pPr>
      <w:r>
        <w:t xml:space="preserve">Cons: Adds latency and operational overhead.</w:t>
      </w:r>
    </w:p>
    <w:p>
      <w:pPr>
        <w:pStyle w:val="Compact"/>
        <w:numPr>
          <w:ilvl w:val="1"/>
          <w:numId w:val="1010"/>
        </w:numPr>
      </w:pPr>
      <w:r>
        <w:t xml:space="preserve">Best when: Any safety-critical or customer-facing deployment.</w:t>
      </w:r>
    </w:p>
    <w:bookmarkEnd w:id="28"/>
    <w:bookmarkStart w:id="29" w:name="X8e3935cedebafb0fc030886787bd9224a0058cf"/>
    <w:p>
      <w:pPr>
        <w:pStyle w:val="Heading2"/>
      </w:pPr>
      <w:r>
        <w:t xml:space="preserve">STEP 5: Practical next steps (immediate actions)</w:t>
      </w:r>
    </w:p>
    <w:p>
      <w:pPr>
        <w:pStyle w:val="Compact"/>
        <w:numPr>
          <w:ilvl w:val="0"/>
          <w:numId w:val="1011"/>
        </w:numPr>
      </w:pPr>
      <w:r>
        <w:t xml:space="preserve">Prototype LLM orchestrator: create a minimal stack: LLM client -&gt; prompt templates -&gt; skill API stubs -&gt; simulator executor.</w:t>
      </w:r>
    </w:p>
    <w:p>
      <w:pPr>
        <w:pStyle w:val="Compact"/>
        <w:numPr>
          <w:ilvl w:val="0"/>
          <w:numId w:val="1011"/>
        </w:numPr>
      </w:pPr>
      <w:r>
        <w:t xml:space="preserve">Define 6–10 canonical skills (e.g., pick, place, navigate, inspect) with clear I/O and success metrics.</w:t>
      </w:r>
    </w:p>
    <w:p>
      <w:pPr>
        <w:pStyle w:val="Compact"/>
        <w:numPr>
          <w:ilvl w:val="0"/>
          <w:numId w:val="1011"/>
        </w:numPr>
      </w:pPr>
      <w:r>
        <w:t xml:space="preserve">Implement ReAct-style prompt template and collect logs for tool-call fine-tuning.</w:t>
      </w:r>
    </w:p>
    <w:p>
      <w:pPr>
        <w:pStyle w:val="Compact"/>
        <w:numPr>
          <w:ilvl w:val="0"/>
          <w:numId w:val="1011"/>
        </w:numPr>
      </w:pPr>
      <w:r>
        <w:t xml:space="preserve">Integrate a sim (Isaac Sim or PyBullet) to validate the LLM-chosen plan before sending commands to hardware.</w:t>
      </w:r>
    </w:p>
    <w:p>
      <w:pPr>
        <w:pStyle w:val="Compact"/>
        <w:numPr>
          <w:ilvl w:val="0"/>
          <w:numId w:val="1011"/>
        </w:numPr>
      </w:pPr>
      <w:r>
        <w:t xml:space="preserve">Add a safety middleware that performs precondition checks and requires human signoff for risky ops.</w:t>
      </w:r>
    </w:p>
    <w:bookmarkEnd w:id="29"/>
    <w:bookmarkStart w:id="30" w:name="step-6-optional-smarter-alternatives"/>
    <w:p>
      <w:pPr>
        <w:pStyle w:val="Heading2"/>
      </w:pPr>
      <w:r>
        <w:t xml:space="preserve">STEP 6: Optional / smarter alternatives</w:t>
      </w:r>
    </w:p>
    <w:p>
      <w:pPr>
        <w:pStyle w:val="Compact"/>
        <w:numPr>
          <w:ilvl w:val="0"/>
          <w:numId w:val="1012"/>
        </w:numPr>
      </w:pPr>
      <w:r>
        <w:t xml:space="preserve">Hybrid symbolic-LLM planners: Use symbolic planners (PDDL or behavior trees) for guarantees and LLMs for natural-language translation and recovery heuristics.</w:t>
      </w:r>
    </w:p>
    <w:p>
      <w:pPr>
        <w:pStyle w:val="Compact"/>
        <w:numPr>
          <w:ilvl w:val="0"/>
          <w:numId w:val="1012"/>
        </w:numPr>
      </w:pPr>
      <w:r>
        <w:t xml:space="preserve">Local fine-tuned small models for low-latency, deterministic planning (edge deployment), with cloud LLMs for complex reasoning.</w:t>
      </w:r>
    </w:p>
    <w:p>
      <w:pPr>
        <w:pStyle w:val="Compact"/>
        <w:numPr>
          <w:ilvl w:val="0"/>
          <w:numId w:val="1012"/>
        </w:numPr>
      </w:pPr>
      <w:r>
        <w:t xml:space="preserve">Learn-to-prompt: train small models that generate optimized prompts for task-specific LLMs, reducing manual prompt engineering overhead.</w:t>
      </w:r>
    </w:p>
    <w:bookmarkEnd w:id="30"/>
    <w:bookmarkStart w:id="31" w:name="X48e8c425ef248903bf89a8c7bef45c3706d465f"/>
    <w:p>
      <w:pPr>
        <w:pStyle w:val="Heading2"/>
      </w:pPr>
      <w:r>
        <w:t xml:space="preserve">Pencil diagram / flowchart (ASCII + pencil drawing instructions)</w:t>
      </w:r>
    </w:p>
    <w:p>
      <w:pPr>
        <w:pStyle w:val="FirstParagraph"/>
      </w:pPr>
      <w:r>
        <w:t xml:space="preserve">ASCII flowchart (use as reference for pencil sketch):</w:t>
      </w:r>
    </w:p>
    <w:p>
      <w:pPr>
        <w:pStyle w:val="SourceCode"/>
      </w:pPr>
      <w:r>
        <w:rPr>
          <w:rStyle w:val="VerbatimChar"/>
        </w:rPr>
        <w:t xml:space="preserve">User Instruction (NL)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Prompt Engine  ──&gt; Logging/Audit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Planner (LLM)</w:t>
      </w:r>
      <w:r>
        <w:br/>
      </w:r>
      <w:r>
        <w:rPr>
          <w:rStyle w:val="VerbatimChar"/>
        </w:rPr>
        <w:t xml:space="preserve">   │    └─&gt; chain-of-thought trace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Skill Selector (affordances)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Simulator (validate plan) ──&gt; If OK ──▶ Executor (controllers)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│                                    ▼</w:t>
      </w:r>
      <w:r>
        <w:br/>
      </w:r>
      <w:r>
        <w:rPr>
          <w:rStyle w:val="VerbatimChar"/>
        </w:rPr>
        <w:t xml:space="preserve">   └───────────▶ Safety Middleware ◀───── Hardware</w:t>
      </w:r>
      <w:r>
        <w:br/>
      </w:r>
      <w:r>
        <w:rPr>
          <w:rStyle w:val="VerbatimChar"/>
        </w:rPr>
        <w:t xml:space="preserve">                    (checks, H-in-loop)</w:t>
      </w:r>
    </w:p>
    <w:p>
      <w:pPr>
        <w:pStyle w:val="FirstParagraph"/>
      </w:pPr>
      <w:r>
        <w:t xml:space="preserve">Pencil drawing tips:</w:t>
      </w:r>
      <w:r>
        <w:t xml:space="preserve"> </w:t>
      </w:r>
      <w:r>
        <w:t xml:space="preserve">- Draw boxes for each component, arrows for flow; annotate with key checks (affordance scores, preconditions).</w:t>
      </w:r>
      <w:r>
        <w:t xml:space="preserve"> </w:t>
      </w:r>
      <w:r>
        <w:t xml:space="preserve">- Use dashed arrows for optional/fallback paths (e.g., human override).</w:t>
      </w:r>
      <w:r>
        <w:t xml:space="preserve"> </w:t>
      </w:r>
      <w:r>
        <w:t xml:space="preserve">- Shade LLM components lightly to indicate</w:t>
      </w:r>
      <w:r>
        <w:t xml:space="preserve"> </w:t>
      </w:r>
      <w:r>
        <w:t xml:space="preserve">“soft”</w:t>
      </w:r>
      <w:r>
        <w:t xml:space="preserve"> </w:t>
      </w:r>
      <w:r>
        <w:t xml:space="preserve">(probabilistic) behavior; draw solid borders for controller/safety components to indicate determinism.</w:t>
      </w:r>
    </w:p>
    <w:bookmarkEnd w:id="31"/>
    <w:bookmarkStart w:id="37" w:name="confidence-assessment"/>
    <w:p>
      <w:pPr>
        <w:pStyle w:val="Heading2"/>
      </w:pPr>
      <w:r>
        <w:t xml:space="preserve">Confidence assessment</w:t>
      </w:r>
    </w:p>
    <w:p>
      <w:pPr>
        <w:pStyle w:val="Compact"/>
        <w:numPr>
          <w:ilvl w:val="0"/>
          <w:numId w:val="1013"/>
        </w:numPr>
      </w:pPr>
      <w:r>
        <w:t xml:space="preserve">High confidence: Architectural trends — LLMs as planners/orchestrators, use of ReAct and Toolformer concepts for tool invocation, sim-to-real importance</w:t>
      </w:r>
      <w:r>
        <w:rPr>
          <w:rStyle w:val="FootnoteReference"/>
        </w:rPr>
        <w:footnoteReference w:id="32"/>
      </w:r>
      <w:r>
        <w:rPr>
          <w:rStyle w:val="FootnoteReference"/>
        </w:rPr>
        <w:footnoteReference w:id="33"/>
      </w:r>
      <w:r>
        <w:rPr>
          <w:rStyle w:val="FootnoteReference"/>
        </w:rPr>
        <w:footnoteReference w:id="34"/>
      </w:r>
      <w:r>
        <w:rPr>
          <w:rStyle w:val="FootnoteReference"/>
        </w:rPr>
        <w:footnoteReference w:id="35"/>
      </w:r>
      <w:r>
        <w:rPr>
          <w:rStyle w:val="FootnoteReference"/>
        </w:rPr>
        <w:footnoteReference w:id="36"/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Medium confidence: Timeline predictions (1–5 year adoption rates) — depends on compute cost, regulation, and safety engineering budgets.</w:t>
      </w:r>
    </w:p>
    <w:p>
      <w:pPr>
        <w:pStyle w:val="Compact"/>
        <w:numPr>
          <w:ilvl w:val="0"/>
          <w:numId w:val="1013"/>
        </w:numPr>
      </w:pPr>
      <w:r>
        <w:t xml:space="preserve">Low confidence: Exact operational patterns at large commercial labs — internal tools and safety practices vary and are often proprietary.</w:t>
      </w:r>
    </w:p>
    <w:bookmarkEnd w:id="37"/>
    <w:bookmarkStart w:id="38" w:name="footnotes"/>
    <w:p>
      <w:pPr>
        <w:pStyle w:val="Heading2"/>
      </w:pPr>
      <w:r>
        <w:t xml:space="preserve">Footnotes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automatically and saved to local session state.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OpenAI prompt design guide: https://platform.openai.com/docs/guides/prompt-design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Chain-of-thought prompting:</w:t>
      </w:r>
      <w:r>
        <w:t xml:space="preserve"> </w:t>
      </w:r>
      <w:r>
        <w:t xml:space="preserve">“Chain of Thought Prompting Elicits Reasoning in Large Language Models”</w:t>
      </w:r>
      <w:r>
        <w:t xml:space="preserve"> </w:t>
      </w:r>
      <w:r>
        <w:t xml:space="preserve">(arXiv): https://arxiv.org/abs/2201.11903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ReAct paper:</w:t>
      </w:r>
      <w:r>
        <w:t xml:space="preserve"> </w:t>
      </w:r>
      <w:r>
        <w:t xml:space="preserve">“ReAct: Synergizing Reasoning and Acting in Language Models”</w:t>
      </w:r>
      <w:r>
        <w:t xml:space="preserve"> </w:t>
      </w:r>
      <w:r>
        <w:t xml:space="preserve">(arXiv): https://arxiv.org/abs/2210.03629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Toolformer:</w:t>
      </w:r>
      <w:r>
        <w:t xml:space="preserve"> </w:t>
      </w:r>
      <w:r>
        <w:t xml:space="preserve">“Toolformer: Language Models Can Teach Themselves to Use Tools”</w:t>
      </w:r>
      <w:r>
        <w:t xml:space="preserve"> </w:t>
      </w:r>
      <w:r>
        <w:t xml:space="preserve">(arXiv): https://arxiv.org/abs/2302.04761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Domain Randomization (Sim-to-Real):</w:t>
      </w:r>
      <w:r>
        <w:t xml:space="preserve"> </w:t>
      </w:r>
      <w:r>
        <w:t xml:space="preserve">“Domain Randomization for Transferring Deep Neural Networks from Simulation to the Real World”</w:t>
      </w:r>
      <w:r>
        <w:t xml:space="preserve"> </w:t>
      </w:r>
      <w:r>
        <w:t xml:space="preserve">(arXiv): https://arxiv.org/abs/1703.06907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SayCan (grounding LLMs to skills):</w:t>
      </w:r>
      <w:r>
        <w:t xml:space="preserve"> </w:t>
      </w:r>
      <w:r>
        <w:t xml:space="preserve">“SayCan: Guiding Robotic Behavior with Language Models”</w:t>
      </w:r>
      <w:r>
        <w:t xml:space="preserve"> </w:t>
      </w:r>
      <w:r>
        <w:t xml:space="preserve">(arXiv): https://arxiv.org/abs/2204.01691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NVIDIA Isaac Sim (simulation platform): https://developer.nvidia.com/isaac-sim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ROS documentation (robot middleware): https://docs.ros.org/en/foxy/index.html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OpenAI prompt design guide: https://platform.openai.com/docs/guides/prompt-design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Chain-of-thought prompting:</w:t>
      </w:r>
      <w:r>
        <w:t xml:space="preserve"> </w:t>
      </w:r>
      <w:r>
        <w:t xml:space="preserve">“Chain of Thought Prompting Elicits Reasoning in Large Language Models”</w:t>
      </w:r>
      <w:r>
        <w:t xml:space="preserve"> </w:t>
      </w:r>
      <w:r>
        <w:t xml:space="preserve">(arXiv): https://arxiv.org/abs/2201.11903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ReAct paper:</w:t>
      </w:r>
      <w:r>
        <w:t xml:space="preserve"> </w:t>
      </w:r>
      <w:r>
        <w:t xml:space="preserve">“ReAct: Synergizing Reasoning and Acting in Language Models”</w:t>
      </w:r>
      <w:r>
        <w:t xml:space="preserve"> </w:t>
      </w:r>
      <w:r>
        <w:t xml:space="preserve">(arXiv): https://arxiv.org/abs/2210.03629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Toolformer:</w:t>
      </w:r>
      <w:r>
        <w:t xml:space="preserve"> </w:t>
      </w:r>
      <w:r>
        <w:t xml:space="preserve">“Toolformer: Language Models Can Teach Themselves to Use Tools”</w:t>
      </w:r>
      <w:r>
        <w:t xml:space="preserve"> </w:t>
      </w:r>
      <w:r>
        <w:t xml:space="preserve">(arXiv): https://arxiv.org/abs/2302.04761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Domain Randomization (Sim-to-Real):</w:t>
      </w:r>
      <w:r>
        <w:t xml:space="preserve"> </w:t>
      </w:r>
      <w:r>
        <w:t xml:space="preserve">“Domain Randomization for Transferring Deep Neural Networks from Simulation to the Real World”</w:t>
      </w:r>
      <w:r>
        <w:t xml:space="preserve"> </w:t>
      </w:r>
      <w:r>
        <w:t xml:space="preserve">(arXiv): https://arxiv.org/abs/1703.06907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NVIDIA Isaac Sim (simulation platform): https://developer.nvidia.com/isaac-sim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SayCan (grounding LLMs to skills):</w:t>
      </w:r>
      <w:r>
        <w:t xml:space="preserve"> </w:t>
      </w:r>
      <w:r>
        <w:t xml:space="preserve">“SayCan: Guiding Robotic Behavior with Language Models”</w:t>
      </w:r>
      <w:r>
        <w:t xml:space="preserve"> </w:t>
      </w:r>
      <w:r>
        <w:t xml:space="preserve">(arXiv): https://arxiv.org/abs/2204.01691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OpenAI prompt design guide: https://platform.openai.com/docs/guides/prompt-design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ReAct paper:</w:t>
      </w:r>
      <w:r>
        <w:t xml:space="preserve"> </w:t>
      </w:r>
      <w:r>
        <w:t xml:space="preserve">“ReAct: Synergizing Reasoning and Acting in Language Models”</w:t>
      </w:r>
      <w:r>
        <w:t xml:space="preserve"> </w:t>
      </w:r>
      <w:r>
        <w:t xml:space="preserve">(arXiv): https://arxiv.org/abs/2210.03629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Toolformer:</w:t>
      </w:r>
      <w:r>
        <w:t xml:space="preserve"> </w:t>
      </w:r>
      <w:r>
        <w:t xml:space="preserve">“Toolformer: Language Models Can Teach Themselves to Use Tools”</w:t>
      </w:r>
      <w:r>
        <w:t xml:space="preserve"> </w:t>
      </w:r>
      <w:r>
        <w:t xml:space="preserve">(arXiv): https://arxiv.org/abs/2302.04761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Domain Randomization (Sim-to-Real):</w:t>
      </w:r>
      <w:r>
        <w:t xml:space="preserve"> </w:t>
      </w:r>
      <w:r>
        <w:t xml:space="preserve">“Domain Randomization for Transferring Deep Neural Networks from Simulation to the Real World”</w:t>
      </w:r>
      <w:r>
        <w:t xml:space="preserve"> </w:t>
      </w:r>
      <w:r>
        <w:t xml:space="preserve">(arXiv): https://arxiv.org/abs/1703.06907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NVIDIA Isaac Sim (simulation platform): https://developer.nvidia.com/isaac-sim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2026-04-29T09:07:47Z</dcterms:created>
  <dcterms:modified xsi:type="dcterms:W3CDTF">2026-04-29T09:07:47Z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