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MVA Drug-Repurposing Network Screen</w:t>
      </w:r>
    </w:p>
    <w:p>
      <w:pPr>
        <w:jc w:val="center"/>
      </w:pPr>
      <w:r>
        <w:rPr>
          <w:i/>
          <w:sz w:val="20"/>
        </w:rPr>
        <w:t>Final report: STRING 400 shortlist with STRING 700 comparison and CDC7-exclusion sensitivity</w:t>
      </w:r>
    </w:p>
    <w:p>
      <w:r>
        <w:t>Report date: 23 October 2026</w:t>
      </w:r>
    </w:p>
    <w:p>
      <w:pPr>
        <w:pStyle w:val="Heading1"/>
      </w:pPr>
      <w:r>
        <w:t>1. Executive summary</w:t>
      </w:r>
    </w:p>
    <w:p>
      <w:r>
        <w:t>This report summarizes an exploratory network-proximity drug-repurposing screen for a multi-variegated aneuploidy (MVA) project. STRING 700 was used as the primary network configuration in the preceding analysis, while STRING 400 served as a network-threshold sensitivity analysis. Each original run contained 2,963 drug entries. No drug passed FDR &lt; 0.05 in either original run. The earlier screen yielded 17 entries at FDR &lt; 0.25 for STRING 700 and 13 for STRING 400, with 10 candidates shared across the two cutoffs.</w:t>
      </w:r>
    </w:p>
    <w:p>
      <w:r>
        <w:t>The ten shared candidates are listed below with their STRING 400 z-scores. These are exploratory network-ranked candidates, not validated MVA treatments. Their target links include established DNA-replication, cell-cycle and mitotic-checkpoint biology, and many may represent database associations or network context rather than direct functional drug-target engagement. The overall pattern is consistent with the screen preferentially recovering oncology cytotoxics and cell-cycle/replication inhibitors.</w:t>
      </w:r>
    </w:p>
    <w:p>
      <w:pPr>
        <w:pStyle w:val="Heading1"/>
      </w:pPr>
      <w:r>
        <w:t>2. Scope and interpretation</w:t>
      </w:r>
    </w:p>
    <w:p>
      <w:r>
        <w:t>The screen ranked drugs by network proximity to the supplied disease/module genes using STRING interaction networks at two cutoffs. The STRING 400 results are reported here as the requested shortlist, while STRING 700 is retained as a cross-cutoff comparison. The ranking statistic z is reported as produced by the pipeline; more negative values indicate stronger proximity under this implementation, but should not be interpreted as evidence of therapeutic benefit.</w:t>
      </w:r>
    </w:p>
    <w:p>
      <w:r>
        <w:t>The candidate ordering is not a validated efficacy ranking. The earlier permutation-based analysis had a minimum attainable p-value around 1/1001, producing tied or near-tied marginal results. Accordingly, FDR &lt; 0.25 is treated only as an exploratory screen threshold, not as conventional evidence of statistical significance.</w:t>
      </w:r>
    </w:p>
    <w:p>
      <w:pPr>
        <w:pStyle w:val="Heading1"/>
      </w:pPr>
      <w:r>
        <w:t>3. Top 10 candidates shared across STRING 700 and STRING 400</w:t>
      </w:r>
    </w:p>
    <w:p>
      <w:r>
        <w:t>The table preserves the ten-candidate shortlist from the prior report. STRING 400 z-scores are from the original STRING 400 run, before the separate CDC7-exclusion sensitivity run. Target lists are reported as source-associated targets/network context from the pipeline; they do not necessarily establish direct binding or functional inhibition.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936"/>
          </w:tcPr>
          <w:p>
            <w:r>
              <w:rPr>
                <w:b/>
                <w:sz w:val="16"/>
              </w:rPr>
              <w:t>Prior shortlist</w:t>
            </w:r>
          </w:p>
        </w:tc>
        <w:tc>
          <w:tcPr>
            <w:tcW w:type="dxa" w:w="1944"/>
          </w:tcPr>
          <w:p>
            <w:r>
              <w:rPr>
                <w:b/>
                <w:sz w:val="16"/>
              </w:rPr>
              <w:t>Drug</w:t>
            </w:r>
          </w:p>
        </w:tc>
        <w:tc>
          <w:tcPr>
            <w:tcW w:type="dxa" w:w="1037"/>
          </w:tcPr>
          <w:p>
            <w:r>
              <w:rPr>
                <w:b/>
                <w:sz w:val="16"/>
              </w:rPr>
              <w:t>z STRING 700</w:t>
            </w:r>
          </w:p>
        </w:tc>
        <w:tc>
          <w:tcPr>
            <w:tcW w:type="dxa" w:w="1037"/>
          </w:tcPr>
          <w:p>
            <w:r>
              <w:rPr>
                <w:b/>
                <w:sz w:val="16"/>
              </w:rPr>
              <w:t>z STRING 400</w:t>
            </w:r>
          </w:p>
        </w:tc>
        <w:tc>
          <w:tcPr>
            <w:tcW w:type="dxa" w:w="3024"/>
          </w:tcPr>
          <w:p>
            <w:r>
              <w:rPr>
                <w:b/>
                <w:sz w:val="16"/>
              </w:rPr>
              <w:t>Target associations reported</w:t>
            </w:r>
          </w:p>
        </w:tc>
        <w:tc>
          <w:tcPr>
            <w:tcW w:type="dxa" w:w="1368"/>
          </w:tcPr>
          <w:p>
            <w:r>
              <w:rPr>
                <w:b/>
                <w:sz w:val="16"/>
              </w:rPr>
              <w:t>Prior pipeline tier</w:t>
            </w:r>
          </w:p>
        </w:tc>
      </w:tr>
      <w:tr>
        <w:tc>
          <w:tcPr>
            <w:tcW w:type="dxa" w:w="936"/>
            <w:vAlign w:val="top"/>
          </w:tcPr>
          <w:p>
            <w:r>
              <w:rPr>
                <w:sz w:val="15"/>
              </w:rPr>
              <w:t>1</w:t>
            </w:r>
          </w:p>
        </w:tc>
        <w:tc>
          <w:tcPr>
            <w:tcW w:type="dxa" w:w="1944"/>
            <w:vAlign w:val="top"/>
          </w:tcPr>
          <w:p>
            <w:r>
              <w:rPr>
                <w:sz w:val="15"/>
              </w:rPr>
              <w:t>BAY 61-3606</w:t>
            </w:r>
          </w:p>
        </w:tc>
        <w:tc>
          <w:tcPr>
            <w:tcW w:type="dxa" w:w="1037"/>
            <w:vAlign w:val="top"/>
          </w:tcPr>
          <w:p>
            <w:r>
              <w:rPr>
                <w:sz w:val="15"/>
              </w:rPr>
              <w:t>−4.704954</w:t>
            </w:r>
          </w:p>
        </w:tc>
        <w:tc>
          <w:tcPr>
            <w:tcW w:type="dxa" w:w="1037"/>
            <w:vAlign w:val="top"/>
          </w:tcPr>
          <w:p>
            <w:r>
              <w:rPr>
                <w:sz w:val="15"/>
              </w:rPr>
              <w:t>−3.784098</w:t>
            </w:r>
          </w:p>
        </w:tc>
        <w:tc>
          <w:tcPr>
            <w:tcW w:type="dxa" w:w="3024"/>
            <w:vAlign w:val="top"/>
          </w:tcPr>
          <w:p>
            <w:r>
              <w:rPr>
                <w:sz w:val="15"/>
              </w:rPr>
              <w:t>AURKB, CDC7, CDK1, CDK2, PBK, STK3</w:t>
            </w:r>
          </w:p>
        </w:tc>
        <w:tc>
          <w:tcPr>
            <w:tcW w:type="dxa" w:w="1368"/>
            <w:vAlign w:val="top"/>
          </w:tcPr>
          <w:p>
            <w:r>
              <w:rPr>
                <w:sz w:val="15"/>
              </w:rPr>
              <w:t>X-avoid/review</w:t>
            </w:r>
          </w:p>
        </w:tc>
      </w:tr>
      <w:tr>
        <w:tc>
          <w:tcPr>
            <w:tcW w:type="dxa" w:w="936"/>
            <w:vAlign w:val="top"/>
          </w:tcPr>
          <w:p>
            <w:r>
              <w:rPr>
                <w:sz w:val="15"/>
              </w:rPr>
              <w:t>2</w:t>
            </w:r>
          </w:p>
        </w:tc>
        <w:tc>
          <w:tcPr>
            <w:tcW w:type="dxa" w:w="1944"/>
            <w:vAlign w:val="top"/>
          </w:tcPr>
          <w:p>
            <w:r>
              <w:rPr>
                <w:sz w:val="15"/>
              </w:rPr>
              <w:t>Gemcitabine hydrochloride</w:t>
            </w:r>
          </w:p>
        </w:tc>
        <w:tc>
          <w:tcPr>
            <w:tcW w:type="dxa" w:w="1037"/>
            <w:vAlign w:val="top"/>
          </w:tcPr>
          <w:p>
            <w:r>
              <w:rPr>
                <w:sz w:val="15"/>
              </w:rPr>
              <w:t>−4.577530</w:t>
            </w:r>
          </w:p>
        </w:tc>
        <w:tc>
          <w:tcPr>
            <w:tcW w:type="dxa" w:w="1037"/>
            <w:vAlign w:val="top"/>
          </w:tcPr>
          <w:p>
            <w:r>
              <w:rPr>
                <w:sz w:val="15"/>
              </w:rPr>
              <w:t>−4.711858</w:t>
            </w:r>
          </w:p>
        </w:tc>
        <w:tc>
          <w:tcPr>
            <w:tcW w:type="dxa" w:w="3024"/>
            <w:vAlign w:val="top"/>
          </w:tcPr>
          <w:p>
            <w:r>
              <w:rPr>
                <w:sz w:val="15"/>
              </w:rPr>
              <w:t>POLA1, POLA2, PRIM1, PRIM2</w:t>
            </w:r>
          </w:p>
        </w:tc>
        <w:tc>
          <w:tcPr>
            <w:tcW w:type="dxa" w:w="1368"/>
            <w:vAlign w:val="top"/>
          </w:tcPr>
          <w:p>
            <w:r>
              <w:rPr>
                <w:sz w:val="15"/>
              </w:rPr>
              <w:t>Tier 3</w:t>
            </w:r>
          </w:p>
        </w:tc>
      </w:tr>
      <w:tr>
        <w:tc>
          <w:tcPr>
            <w:tcW w:type="dxa" w:w="936"/>
            <w:vAlign w:val="top"/>
          </w:tcPr>
          <w:p>
            <w:r>
              <w:rPr>
                <w:sz w:val="15"/>
              </w:rPr>
              <w:t>3</w:t>
            </w:r>
          </w:p>
        </w:tc>
        <w:tc>
          <w:tcPr>
            <w:tcW w:type="dxa" w:w="1944"/>
            <w:vAlign w:val="top"/>
          </w:tcPr>
          <w:p>
            <w:r>
              <w:rPr>
                <w:sz w:val="15"/>
              </w:rPr>
              <w:t>Aspacytarabine</w:t>
            </w:r>
          </w:p>
        </w:tc>
        <w:tc>
          <w:tcPr>
            <w:tcW w:type="dxa" w:w="1037"/>
            <w:vAlign w:val="top"/>
          </w:tcPr>
          <w:p>
            <w:r>
              <w:rPr>
                <w:sz w:val="15"/>
              </w:rPr>
              <w:t>−4.568938</w:t>
            </w:r>
          </w:p>
        </w:tc>
        <w:tc>
          <w:tcPr>
            <w:tcW w:type="dxa" w:w="1037"/>
            <w:vAlign w:val="top"/>
          </w:tcPr>
          <w:p>
            <w:r>
              <w:rPr>
                <w:sz w:val="15"/>
              </w:rPr>
              <w:t>−4.797716</w:t>
            </w:r>
          </w:p>
        </w:tc>
        <w:tc>
          <w:tcPr>
            <w:tcW w:type="dxa" w:w="3024"/>
            <w:vAlign w:val="top"/>
          </w:tcPr>
          <w:p>
            <w:r>
              <w:rPr>
                <w:sz w:val="15"/>
              </w:rPr>
              <w:t>POLA1, POLA2, PRIM1, PRIM2</w:t>
            </w:r>
          </w:p>
        </w:tc>
        <w:tc>
          <w:tcPr>
            <w:tcW w:type="dxa" w:w="1368"/>
            <w:vAlign w:val="top"/>
          </w:tcPr>
          <w:p>
            <w:r>
              <w:rPr>
                <w:sz w:val="15"/>
              </w:rPr>
              <w:t>Tier 3</w:t>
            </w:r>
          </w:p>
        </w:tc>
      </w:tr>
      <w:tr>
        <w:tc>
          <w:tcPr>
            <w:tcW w:type="dxa" w:w="936"/>
            <w:vAlign w:val="top"/>
          </w:tcPr>
          <w:p>
            <w:r>
              <w:rPr>
                <w:sz w:val="15"/>
              </w:rPr>
              <w:t>4</w:t>
            </w:r>
          </w:p>
        </w:tc>
        <w:tc>
          <w:tcPr>
            <w:tcW w:type="dxa" w:w="1944"/>
            <w:vAlign w:val="top"/>
          </w:tcPr>
          <w:p>
            <w:r>
              <w:rPr>
                <w:sz w:val="15"/>
              </w:rPr>
              <w:t>CYC-116</w:t>
            </w:r>
          </w:p>
        </w:tc>
        <w:tc>
          <w:tcPr>
            <w:tcW w:type="dxa" w:w="1037"/>
            <w:vAlign w:val="top"/>
          </w:tcPr>
          <w:p>
            <w:r>
              <w:rPr>
                <w:sz w:val="15"/>
              </w:rPr>
              <w:t>−3.552373</w:t>
            </w:r>
          </w:p>
        </w:tc>
        <w:tc>
          <w:tcPr>
            <w:tcW w:type="dxa" w:w="1037"/>
            <w:vAlign w:val="top"/>
          </w:tcPr>
          <w:p>
            <w:r>
              <w:rPr>
                <w:sz w:val="15"/>
              </w:rPr>
              <w:t>−3.271103</w:t>
            </w:r>
          </w:p>
        </w:tc>
        <w:tc>
          <w:tcPr>
            <w:tcW w:type="dxa" w:w="3024"/>
            <w:vAlign w:val="top"/>
          </w:tcPr>
          <w:p>
            <w:r>
              <w:rPr>
                <w:sz w:val="15"/>
              </w:rPr>
              <w:t>Broad mitotic kinase target associations</w:t>
            </w:r>
          </w:p>
        </w:tc>
        <w:tc>
          <w:tcPr>
            <w:tcW w:type="dxa" w:w="1368"/>
            <w:vAlign w:val="top"/>
          </w:tcPr>
          <w:p>
            <w:r>
              <w:rPr>
                <w:sz w:val="15"/>
              </w:rPr>
              <w:t>X-avoid/review</w:t>
            </w:r>
          </w:p>
        </w:tc>
      </w:tr>
      <w:tr>
        <w:tc>
          <w:tcPr>
            <w:tcW w:type="dxa" w:w="936"/>
            <w:vAlign w:val="top"/>
          </w:tcPr>
          <w:p>
            <w:r>
              <w:rPr>
                <w:sz w:val="15"/>
              </w:rPr>
              <w:t>5</w:t>
            </w:r>
          </w:p>
        </w:tc>
        <w:tc>
          <w:tcPr>
            <w:tcW w:type="dxa" w:w="1944"/>
            <w:vAlign w:val="top"/>
          </w:tcPr>
          <w:p>
            <w:r>
              <w:rPr>
                <w:sz w:val="15"/>
              </w:rPr>
              <w:t>CHEMBL5653589</w:t>
            </w:r>
          </w:p>
        </w:tc>
        <w:tc>
          <w:tcPr>
            <w:tcW w:type="dxa" w:w="1037"/>
            <w:vAlign w:val="top"/>
          </w:tcPr>
          <w:p>
            <w:r>
              <w:rPr>
                <w:sz w:val="15"/>
              </w:rPr>
              <w:t>−5.240810</w:t>
            </w:r>
          </w:p>
        </w:tc>
        <w:tc>
          <w:tcPr>
            <w:tcW w:type="dxa" w:w="1037"/>
            <w:vAlign w:val="top"/>
          </w:tcPr>
          <w:p>
            <w:r>
              <w:rPr>
                <w:sz w:val="15"/>
              </w:rPr>
              <w:t>−4.912245</w:t>
            </w:r>
          </w:p>
        </w:tc>
        <w:tc>
          <w:tcPr>
            <w:tcW w:type="dxa" w:w="3024"/>
            <w:vAlign w:val="top"/>
          </w:tcPr>
          <w:p>
            <w:r>
              <w:rPr>
                <w:sz w:val="15"/>
              </w:rPr>
              <w:t>BUB3, TRIP13</w:t>
            </w:r>
          </w:p>
        </w:tc>
        <w:tc>
          <w:tcPr>
            <w:tcW w:type="dxa" w:w="1368"/>
            <w:vAlign w:val="top"/>
          </w:tcPr>
          <w:p>
            <w:r>
              <w:rPr>
                <w:sz w:val="15"/>
              </w:rPr>
              <w:t>X-avoid/review</w:t>
            </w:r>
          </w:p>
        </w:tc>
      </w:tr>
      <w:tr>
        <w:tc>
          <w:tcPr>
            <w:tcW w:type="dxa" w:w="936"/>
            <w:vAlign w:val="top"/>
          </w:tcPr>
          <w:p>
            <w:r>
              <w:rPr>
                <w:sz w:val="15"/>
              </w:rPr>
              <w:t>6</w:t>
            </w:r>
          </w:p>
        </w:tc>
        <w:tc>
          <w:tcPr>
            <w:tcW w:type="dxa" w:w="1944"/>
            <w:vAlign w:val="top"/>
          </w:tcPr>
          <w:p>
            <w:r>
              <w:rPr>
                <w:sz w:val="15"/>
              </w:rPr>
              <w:t>Compound 8 [PMID: 17480064]</w:t>
            </w:r>
          </w:p>
        </w:tc>
        <w:tc>
          <w:tcPr>
            <w:tcW w:type="dxa" w:w="1037"/>
            <w:vAlign w:val="top"/>
          </w:tcPr>
          <w:p>
            <w:r>
              <w:rPr>
                <w:sz w:val="15"/>
              </w:rPr>
              <w:t>−4.217489</w:t>
            </w:r>
          </w:p>
        </w:tc>
        <w:tc>
          <w:tcPr>
            <w:tcW w:type="dxa" w:w="1037"/>
            <w:vAlign w:val="top"/>
          </w:tcPr>
          <w:p>
            <w:r>
              <w:rPr>
                <w:sz w:val="15"/>
              </w:rPr>
              <w:t>−4.232899</w:t>
            </w:r>
          </w:p>
        </w:tc>
        <w:tc>
          <w:tcPr>
            <w:tcW w:type="dxa" w:w="3024"/>
            <w:vAlign w:val="top"/>
          </w:tcPr>
          <w:p>
            <w:r>
              <w:rPr>
                <w:sz w:val="15"/>
              </w:rPr>
              <w:t>AKT1, CDC7, CDK1, CDK2, CSNK1D, PBK, PLK1, PRKACA</w:t>
            </w:r>
          </w:p>
        </w:tc>
        <w:tc>
          <w:tcPr>
            <w:tcW w:type="dxa" w:w="1368"/>
            <w:vAlign w:val="top"/>
          </w:tcPr>
          <w:p>
            <w:r>
              <w:rPr>
                <w:sz w:val="15"/>
              </w:rPr>
              <w:t>X-avoid/review</w:t>
            </w:r>
          </w:p>
        </w:tc>
      </w:tr>
      <w:tr>
        <w:tc>
          <w:tcPr>
            <w:tcW w:type="dxa" w:w="936"/>
            <w:vAlign w:val="top"/>
          </w:tcPr>
          <w:p>
            <w:r>
              <w:rPr>
                <w:sz w:val="15"/>
              </w:rPr>
              <w:t>7</w:t>
            </w:r>
          </w:p>
        </w:tc>
        <w:tc>
          <w:tcPr>
            <w:tcW w:type="dxa" w:w="1944"/>
            <w:vAlign w:val="top"/>
          </w:tcPr>
          <w:p>
            <w:r>
              <w:rPr>
                <w:sz w:val="15"/>
              </w:rPr>
              <w:t>Cytarabine</w:t>
            </w:r>
          </w:p>
        </w:tc>
        <w:tc>
          <w:tcPr>
            <w:tcW w:type="dxa" w:w="1037"/>
            <w:vAlign w:val="top"/>
          </w:tcPr>
          <w:p>
            <w:r>
              <w:rPr>
                <w:sz w:val="15"/>
              </w:rPr>
              <w:t>−4.369944</w:t>
            </w:r>
          </w:p>
        </w:tc>
        <w:tc>
          <w:tcPr>
            <w:tcW w:type="dxa" w:w="1037"/>
            <w:vAlign w:val="top"/>
          </w:tcPr>
          <w:p>
            <w:r>
              <w:rPr>
                <w:sz w:val="15"/>
              </w:rPr>
              <w:t>−4.315834</w:t>
            </w:r>
          </w:p>
        </w:tc>
        <w:tc>
          <w:tcPr>
            <w:tcW w:type="dxa" w:w="3024"/>
            <w:vAlign w:val="top"/>
          </w:tcPr>
          <w:p>
            <w:r>
              <w:rPr>
                <w:sz w:val="15"/>
              </w:rPr>
              <w:t>ABL1, BIRC5, POLA1, POLA2, PRIM1, PRIM2, TP53, XRCC1</w:t>
            </w:r>
          </w:p>
        </w:tc>
        <w:tc>
          <w:tcPr>
            <w:tcW w:type="dxa" w:w="1368"/>
            <w:vAlign w:val="top"/>
          </w:tcPr>
          <w:p>
            <w:r>
              <w:rPr>
                <w:sz w:val="15"/>
              </w:rPr>
              <w:t>X-avoid/review</w:t>
            </w:r>
          </w:p>
        </w:tc>
      </w:tr>
      <w:tr>
        <w:tc>
          <w:tcPr>
            <w:tcW w:type="dxa" w:w="936"/>
            <w:vAlign w:val="top"/>
          </w:tcPr>
          <w:p>
            <w:r>
              <w:rPr>
                <w:sz w:val="15"/>
              </w:rPr>
              <w:t>8</w:t>
            </w:r>
          </w:p>
        </w:tc>
        <w:tc>
          <w:tcPr>
            <w:tcW w:type="dxa" w:w="1944"/>
            <w:vAlign w:val="top"/>
          </w:tcPr>
          <w:p>
            <w:r>
              <w:rPr>
                <w:sz w:val="15"/>
              </w:rPr>
              <w:t>Fludarabine</w:t>
            </w:r>
          </w:p>
        </w:tc>
        <w:tc>
          <w:tcPr>
            <w:tcW w:type="dxa" w:w="1037"/>
            <w:vAlign w:val="top"/>
          </w:tcPr>
          <w:p>
            <w:r>
              <w:rPr>
                <w:sz w:val="15"/>
              </w:rPr>
              <w:t>−4.682237</w:t>
            </w:r>
          </w:p>
        </w:tc>
        <w:tc>
          <w:tcPr>
            <w:tcW w:type="dxa" w:w="1037"/>
            <w:vAlign w:val="top"/>
          </w:tcPr>
          <w:p>
            <w:r>
              <w:rPr>
                <w:sz w:val="15"/>
              </w:rPr>
              <w:t>−4.521107</w:t>
            </w:r>
          </w:p>
        </w:tc>
        <w:tc>
          <w:tcPr>
            <w:tcW w:type="dxa" w:w="3024"/>
            <w:vAlign w:val="top"/>
          </w:tcPr>
          <w:p>
            <w:r>
              <w:rPr>
                <w:sz w:val="15"/>
              </w:rPr>
              <w:t>ATM, POLA1, POLA2, PRIM1, PRIM2, SMAD3</w:t>
            </w:r>
          </w:p>
        </w:tc>
        <w:tc>
          <w:tcPr>
            <w:tcW w:type="dxa" w:w="1368"/>
            <w:vAlign w:val="top"/>
          </w:tcPr>
          <w:p>
            <w:r>
              <w:rPr>
                <w:sz w:val="15"/>
              </w:rPr>
              <w:t>X-avoid/review</w:t>
            </w:r>
          </w:p>
        </w:tc>
      </w:tr>
      <w:tr>
        <w:tc>
          <w:tcPr>
            <w:tcW w:type="dxa" w:w="936"/>
            <w:vAlign w:val="top"/>
          </w:tcPr>
          <w:p>
            <w:r>
              <w:rPr>
                <w:sz w:val="15"/>
              </w:rPr>
              <w:t>9</w:t>
            </w:r>
          </w:p>
        </w:tc>
        <w:tc>
          <w:tcPr>
            <w:tcW w:type="dxa" w:w="1944"/>
            <w:vAlign w:val="top"/>
          </w:tcPr>
          <w:p>
            <w:r>
              <w:rPr>
                <w:sz w:val="15"/>
              </w:rPr>
              <w:t>Paclitaxel protein-bound</w:t>
            </w:r>
          </w:p>
        </w:tc>
        <w:tc>
          <w:tcPr>
            <w:tcW w:type="dxa" w:w="1037"/>
            <w:vAlign w:val="top"/>
          </w:tcPr>
          <w:p>
            <w:r>
              <w:rPr>
                <w:sz w:val="15"/>
              </w:rPr>
              <w:t>−3.993625</w:t>
            </w:r>
          </w:p>
        </w:tc>
        <w:tc>
          <w:tcPr>
            <w:tcW w:type="dxa" w:w="1037"/>
            <w:vAlign w:val="top"/>
          </w:tcPr>
          <w:p>
            <w:r>
              <w:rPr>
                <w:sz w:val="15"/>
              </w:rPr>
              <w:t>−4.494539</w:t>
            </w:r>
          </w:p>
        </w:tc>
        <w:tc>
          <w:tcPr>
            <w:tcW w:type="dxa" w:w="3024"/>
            <w:vAlign w:val="top"/>
          </w:tcPr>
          <w:p>
            <w:r>
              <w:rPr>
                <w:sz w:val="15"/>
              </w:rPr>
              <w:t>ATM, AURKA, BDNF, BIRC5, CDK2, CHEK1, E2F1, EGFR, ERBB2, HRAS, KRAS, MAD1L1, PTEN, TP53</w:t>
            </w:r>
          </w:p>
        </w:tc>
        <w:tc>
          <w:tcPr>
            <w:tcW w:type="dxa" w:w="1368"/>
            <w:vAlign w:val="top"/>
          </w:tcPr>
          <w:p>
            <w:r>
              <w:rPr>
                <w:sz w:val="15"/>
              </w:rPr>
              <w:t>X-avoid/review</w:t>
            </w:r>
          </w:p>
        </w:tc>
      </w:tr>
      <w:tr>
        <w:tc>
          <w:tcPr>
            <w:tcW w:type="dxa" w:w="936"/>
            <w:vAlign w:val="top"/>
          </w:tcPr>
          <w:p>
            <w:r>
              <w:rPr>
                <w:sz w:val="15"/>
              </w:rPr>
              <w:t>10</w:t>
            </w:r>
          </w:p>
        </w:tc>
        <w:tc>
          <w:tcPr>
            <w:tcW w:type="dxa" w:w="1944"/>
            <w:vAlign w:val="top"/>
          </w:tcPr>
          <w:p>
            <w:r>
              <w:rPr>
                <w:sz w:val="15"/>
              </w:rPr>
              <w:t>Troxacitabine</w:t>
            </w:r>
          </w:p>
        </w:tc>
        <w:tc>
          <w:tcPr>
            <w:tcW w:type="dxa" w:w="1037"/>
            <w:vAlign w:val="top"/>
          </w:tcPr>
          <w:p>
            <w:r>
              <w:rPr>
                <w:sz w:val="15"/>
              </w:rPr>
              <w:t>−4.616730</w:t>
            </w:r>
          </w:p>
        </w:tc>
        <w:tc>
          <w:tcPr>
            <w:tcW w:type="dxa" w:w="1037"/>
            <w:vAlign w:val="top"/>
          </w:tcPr>
          <w:p>
            <w:r>
              <w:rPr>
                <w:sz w:val="15"/>
              </w:rPr>
              <w:t>−4.639264</w:t>
            </w:r>
          </w:p>
        </w:tc>
        <w:tc>
          <w:tcPr>
            <w:tcW w:type="dxa" w:w="3024"/>
            <w:vAlign w:val="top"/>
          </w:tcPr>
          <w:p>
            <w:r>
              <w:rPr>
                <w:sz w:val="15"/>
              </w:rPr>
              <w:t>POLA1, POLA2, PRIM1, PRIM2</w:t>
            </w:r>
          </w:p>
        </w:tc>
        <w:tc>
          <w:tcPr>
            <w:tcW w:type="dxa" w:w="1368"/>
            <w:vAlign w:val="top"/>
          </w:tcPr>
          <w:p>
            <w:r>
              <w:rPr>
                <w:sz w:val="15"/>
              </w:rPr>
              <w:t>Tier 3</w:t>
            </w:r>
          </w:p>
        </w:tc>
      </w:tr>
    </w:tbl>
    <w:p>
      <w:r>
        <w:t>FDR note: these ten were part of the prior cross-cutoff exploratory shortlist. The exact per-drug FDR values are not reproduced here because the retained summary records provide the cutoff-level hit counts and permutation-floor behavior, rather than a verified per-drug FDR value for every row. The original runs had 17 STRING 700 and 13 STRING 400 entries at FDR &lt; 0.25, and zero at FDR &lt; 0.05.</w:t>
      </w:r>
    </w:p>
    <w:p>
      <w:pPr>
        <w:pStyle w:val="Heading1"/>
      </w:pPr>
      <w:r>
        <w:t>4. CDC7-exclusion sensitivity analysis</w:t>
      </w:r>
    </w:p>
    <w:p>
      <w:r>
        <w:t>A separate sensitivity analysis moved CDC7 from tier B to tier C in a copied seed file, thereby removing it from the A/B module while preserving the original seeds.csv and original ranking outputs. The sensitivity runs retained all 2,963 drug keys at each cutoff.</w:t>
      </w:r>
    </w:p>
    <w:p>
      <w:r>
        <w:t>STRING 700: Spearman correlations between original and CDC7-excluded results were 0.9984 for z, 0.9989 for p, 0.9954 for FDR, and 0.9982 for d_c. The number of entries at FDR &lt; 0.25 fell from 17 to 13; none passed FDR &lt; 0.05 in either run. No drug tiers changed.</w:t>
      </w:r>
    </w:p>
    <w:p>
      <w:r>
        <w:t>STRING 400: corresponding correlations were 0.9978 for z, 0.9969 for p, 0.9699 for FDR, and 0.9905 for d_c. Entries at FDR &lt; 0.25 fell from 13 to zero; none passed FDR &lt; 0.05 in either run. Four entries changed tier from 2 to 3. Their drug keys were CHEMBL4297644, CHEMBL3544944, CHEMBL3545321 and CHEMBL3545090. Their original FDR values were already above 0.25, so these tier changes were not losses of FDR &lt; 0.25 hits.</w:t>
      </w:r>
    </w:p>
    <w:p>
      <w:r>
        <w:t>Interpretation: the global rankings remain highly correlated, but the marginal FDR shortlist is sensitive to removing CDC7, especially at STRING 400. High rank correlation does not mean that the marginal statistical findings are robust.</w:t>
      </w:r>
    </w:p>
    <w:p>
      <w:pPr>
        <w:pStyle w:val="Heading1"/>
      </w:pPr>
      <w:r>
        <w:t>5. Biological interpretation and candidate-specific cautions</w:t>
      </w:r>
    </w:p>
    <w:p>
      <w:r>
        <w:t>The repeated POLA1/POLA2/PRIM1/PRIM2 associations across gemcitabine hydrochloride, aspacytarabine, cytarabine, fludarabine and troxacitabine may reflect shared replication-related annotations or network-context links. They should not be presented as proof that each drug directly binds or selectively inhibits all four proteins.</w:t>
      </w:r>
    </w:p>
    <w:p>
      <w:r>
        <w:t>CHEMBL5653589 is a distinct mechanistic lead for review because its target associations include BUB3 and TRIP13, and biallelic TRIP13 loss is reported in MVA biology (Yost et al., 2017; PMID 28553959). However, reported binding/bioactivity evidence is not equivalent to demonstrated TRIP13 ATPase inhibition, checkpoint disruption, or an MVA-like cellular phenotype. It should be described as a mechanistic concern/hypothesis, not as a proven contraindication or treatment.</w:t>
      </w:r>
    </w:p>
    <w:p>
      <w:r>
        <w:t>Several other candidates are oncology cytotoxics or mitotic/cell-cycle inhibitors. Their presence in a proximity shortlist is not evidence that they would correct aneuploidy; perturbing DNA replication or chromosome segregation could plausibly worsen cellular stress. Safety and functional effects require compound-specific evidence and expert review.</w:t>
      </w:r>
    </w:p>
    <w:p>
      <w:pPr>
        <w:pStyle w:val="Heading1"/>
      </w:pPr>
      <w:r>
        <w:t>6. Limitations</w:t>
      </w:r>
    </w:p>
    <w:p>
      <w:pPr>
        <w:pStyle w:val="ListBullet"/>
      </w:pPr>
      <w:r>
        <w:t>No candidate passed FDR &lt; 0.05 in either original network cutoff or either CDC7-excluded sensitivity run.</w:t>
      </w:r>
    </w:p>
    <w:p>
      <w:pPr>
        <w:pStyle w:val="ListBullet"/>
      </w:pPr>
      <w:r>
        <w:t>The exploratory FDR &lt; 0.25 threshold should not be described as conventional statistical significance.</w:t>
      </w:r>
    </w:p>
    <w:p>
      <w:pPr>
        <w:pStyle w:val="ListBullet"/>
      </w:pPr>
      <w:r>
        <w:t>Permutation resolution was limited (approximately 1/1001 minimum p-value), creating tied or near-tied marginal results.</w:t>
      </w:r>
    </w:p>
    <w:p>
      <w:pPr>
        <w:pStyle w:val="ListBullet"/>
      </w:pPr>
      <w:r>
        <w:t>STRING network proximity is not a measure of clinical efficacy, dose, tissue exposure, or safety.</w:t>
      </w:r>
    </w:p>
    <w:p>
      <w:pPr>
        <w:pStyle w:val="ListBullet"/>
      </w:pPr>
      <w:r>
        <w:t>Drug-target resources may contain indirect, literature-derived, predicted or context-only associations; these are not all direct binding evidence.</w:t>
      </w:r>
    </w:p>
    <w:p>
      <w:pPr>
        <w:pStyle w:val="ListBullet"/>
      </w:pPr>
      <w:r>
        <w:t>The screen appears enriched for established oncology cytotoxics and replication/cell-cycle inhibitors, suggesting potential target-module or annotation bias.</w:t>
      </w:r>
    </w:p>
    <w:p>
      <w:pPr>
        <w:pStyle w:val="ListBullet"/>
      </w:pPr>
      <w:r>
        <w:t>The CDC7-exclusion analysis tests sensitivity to one module gene; it does not validate the remaining candidates or resolve other seed/variant uncertainties.</w:t>
      </w:r>
    </w:p>
    <w:p>
      <w:pPr>
        <w:pStyle w:val="Heading1"/>
      </w:pPr>
      <w:r>
        <w:t>7. Final conclusion</w:t>
      </w:r>
    </w:p>
    <w:p>
      <w:r>
        <w:t>The STRING 400 screen produces a reproducible exploratory shortlist, including ten candidates also present in the STRING 700 shortlist. Nevertheless, no candidate meets FDR &lt; 0.05, the marginal FDR &lt; 0.25 set disappears in the STRING 400 CDC7-exclusion run, and the target pattern is dominated by replication, mitotic and oncology-associated mechanisms. The current analysis therefore does not identify a credible MVA-specific therapeutic candidate.</w:t>
      </w:r>
    </w:p>
    <w:p>
      <w:r>
        <w:t>The appropriate next step is not to nominate a drug for use, but to validate target identity and functional mechanism for any compound retained for research, distinguish direct binding from network-context associations, and assess whether a candidate improves an MVA-relevant cellular phenotype without increasing chromosome missegregation, DNA damage or cytotoxicity. This report is a computational prioritization summary, not a clinical recommendation.</w:t>
      </w:r>
    </w:p>
    <w:p>
      <w:pPr>
        <w:pStyle w:val="Heading1"/>
      </w:pPr>
      <w:r>
        <w:t>8. Key references and evidence anchors</w:t>
      </w:r>
    </w:p>
    <w:p>
      <w:r>
        <w:t>Yost et al. (2017), PMID 28553959: biallelic TRIP13 loss associated with MVA and spindle-assembly checkpoint defects. This supports biological relevance of TRIP13, but does not prove that CHEMBL5653589 produces equivalent functional inhibition.</w:t>
      </w:r>
    </w:p>
    <w:p>
      <w:r>
        <w:t>Compound 8 citation supplied in the candidate label: PMID 17480064. Compound identity, target mechanism and assay context should be checked against the original publication before drawing compound-specific conclusions.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