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D6761" w14:textId="77777777" w:rsidR="00B50B72" w:rsidRPr="00E20842" w:rsidRDefault="00B50B72" w:rsidP="00B50B72">
      <w:pPr>
        <w:jc w:val="center"/>
        <w:rPr>
          <w:rFonts w:ascii="Times New Roman" w:hAnsi="Times New Roman" w:cs="Times New Roman"/>
        </w:rPr>
      </w:pPr>
      <w:r w:rsidRPr="00E16654">
        <w:rPr>
          <w:rFonts w:ascii="Times New Roman" w:hAnsi="Times New Roman" w:cs="Times New Roman"/>
        </w:rPr>
        <w:t>Course Assignment in Platform Economics</w:t>
      </w:r>
    </w:p>
    <w:p w14:paraId="3273B73A" w14:textId="77777777" w:rsidR="00B50B72" w:rsidRPr="00E20842" w:rsidRDefault="00B50B72" w:rsidP="00B50B72">
      <w:pPr>
        <w:jc w:val="center"/>
        <w:rPr>
          <w:rFonts w:ascii="Times New Roman" w:hAnsi="Times New Roman" w:cs="Times New Roman"/>
        </w:rPr>
      </w:pPr>
    </w:p>
    <w:p w14:paraId="1C48EE62" w14:textId="77777777" w:rsidR="00B50B72" w:rsidRDefault="00B50B72" w:rsidP="00B50B7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7C9C">
        <w:rPr>
          <w:rFonts w:ascii="Times New Roman" w:hAnsi="Times New Roman" w:cs="Times New Roman"/>
          <w:sz w:val="28"/>
          <w:szCs w:val="28"/>
        </w:rPr>
        <w:t>The Effect of Musk’s Twitter Acquisition on Platform Interest:</w:t>
      </w:r>
    </w:p>
    <w:p w14:paraId="34EDF5ED" w14:textId="77777777" w:rsidR="00B50B72" w:rsidRPr="005E7C9C" w:rsidRDefault="00B50B72" w:rsidP="00B50B7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7C9C">
        <w:rPr>
          <w:rFonts w:ascii="Times New Roman" w:hAnsi="Times New Roman" w:cs="Times New Roman"/>
          <w:sz w:val="28"/>
          <w:szCs w:val="28"/>
        </w:rPr>
        <w:t xml:space="preserve"> A Difference-in-Difference Approach using Google Trends”</w:t>
      </w:r>
    </w:p>
    <w:p w14:paraId="28005426" w14:textId="77777777" w:rsidR="00B50B72" w:rsidRPr="00E16654" w:rsidRDefault="00B50B72" w:rsidP="00B50B7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Elya Madambekova Uysal</w:t>
      </w:r>
    </w:p>
    <w:p w14:paraId="2FA9017C" w14:textId="77777777" w:rsidR="00B50B72" w:rsidRPr="00E16654" w:rsidRDefault="00B50B72" w:rsidP="00B50B72">
      <w:pPr>
        <w:jc w:val="center"/>
        <w:rPr>
          <w:rFonts w:ascii="Times New Roman" w:hAnsi="Times New Roman" w:cs="Times New Roman"/>
        </w:rPr>
      </w:pPr>
      <w:r w:rsidRPr="00E16654">
        <w:rPr>
          <w:rFonts w:ascii="Times New Roman" w:hAnsi="Times New Roman" w:cs="Times New Roman"/>
        </w:rPr>
        <w:t>April 17, 2025</w:t>
      </w:r>
    </w:p>
    <w:p w14:paraId="01AAB70F" w14:textId="77777777" w:rsidR="00B50B72" w:rsidRDefault="00B50B72" w:rsidP="00B50B72">
      <w:pPr>
        <w:rPr>
          <w:rFonts w:ascii="Times New Roman" w:hAnsi="Times New Roman" w:cs="Times New Roman"/>
        </w:rPr>
      </w:pPr>
    </w:p>
    <w:p w14:paraId="0D3D7918" w14:textId="77777777" w:rsidR="00B50B72" w:rsidRPr="00E16654" w:rsidRDefault="00B50B72" w:rsidP="00B50B72">
      <w:pPr>
        <w:rPr>
          <w:rFonts w:ascii="Times New Roman" w:hAnsi="Times New Roman" w:cs="Times New Roman"/>
        </w:rPr>
      </w:pPr>
      <w:r w:rsidRPr="00E16654">
        <w:rPr>
          <w:rFonts w:ascii="Times New Roman" w:hAnsi="Times New Roman" w:cs="Times New Roman"/>
          <w:b/>
          <w:bCs/>
        </w:rPr>
        <w:t>1. Introduction</w:t>
      </w:r>
    </w:p>
    <w:p w14:paraId="0A5B3B82" w14:textId="77777777" w:rsidR="00B50B72" w:rsidRPr="00730C3C" w:rsidRDefault="00B50B72" w:rsidP="00B50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C3C">
        <w:rPr>
          <w:rFonts w:ascii="Times New Roman" w:eastAsia="Times New Roman" w:hAnsi="Times New Roman" w:cs="Times New Roman"/>
          <w:kern w:val="0"/>
          <w14:ligatures w14:val="none"/>
        </w:rPr>
        <w:t>On April 14, 2022, Elon Musk publicly announced his intention to acquire Twitter, generating intense media attention and global discussion. This event provides a natural experiment to assess whether public interest in Twitter increased following the announcement.</w:t>
      </w:r>
      <w:r w:rsidRPr="005E7C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0C3C">
        <w:rPr>
          <w:rFonts w:ascii="Times New Roman" w:eastAsia="Times New Roman" w:hAnsi="Times New Roman" w:cs="Times New Roman"/>
          <w:kern w:val="0"/>
          <w14:ligatures w14:val="none"/>
        </w:rPr>
        <w:t xml:space="preserve">To investigate this, </w:t>
      </w:r>
      <w:r w:rsidRPr="00E16654">
        <w:rPr>
          <w:rFonts w:ascii="Times New Roman" w:eastAsia="Times New Roman" w:hAnsi="Times New Roman" w:cs="Times New Roman"/>
          <w:kern w:val="0"/>
          <w14:ligatures w14:val="none"/>
        </w:rPr>
        <w:t xml:space="preserve">I </w:t>
      </w:r>
      <w:r>
        <w:rPr>
          <w:rFonts w:ascii="Times New Roman" w:eastAsia="Times New Roman" w:hAnsi="Times New Roman" w:cs="Times New Roman"/>
          <w:kern w:val="0"/>
          <w14:ligatures w14:val="none"/>
        </w:rPr>
        <w:t>collected</w:t>
      </w:r>
      <w:r w:rsidRPr="00730C3C">
        <w:rPr>
          <w:rFonts w:ascii="Times New Roman" w:eastAsia="Times New Roman" w:hAnsi="Times New Roman" w:cs="Times New Roman"/>
          <w:kern w:val="0"/>
          <w14:ligatures w14:val="none"/>
        </w:rPr>
        <w:t xml:space="preserve"> search volume data from Google Trends for six major platforms: Twitter, Facebook, Instagram, TikTok, LinkedIn, and YouTube, from 2019 to 2024. Using a Difference-in-Differences (</w:t>
      </w:r>
      <w:proofErr w:type="spellStart"/>
      <w:r w:rsidRPr="00730C3C">
        <w:rPr>
          <w:rFonts w:ascii="Times New Roman" w:eastAsia="Times New Roman" w:hAnsi="Times New Roman" w:cs="Times New Roman"/>
          <w:kern w:val="0"/>
          <w14:ligatures w14:val="none"/>
        </w:rPr>
        <w:t>DiD</w:t>
      </w:r>
      <w:proofErr w:type="spellEnd"/>
      <w:r w:rsidRPr="00730C3C">
        <w:rPr>
          <w:rFonts w:ascii="Times New Roman" w:eastAsia="Times New Roman" w:hAnsi="Times New Roman" w:cs="Times New Roman"/>
          <w:kern w:val="0"/>
          <w14:ligatures w14:val="none"/>
        </w:rPr>
        <w:t>) framework,</w:t>
      </w:r>
      <w:r w:rsidRPr="00E16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0C3C">
        <w:rPr>
          <w:rFonts w:ascii="Times New Roman" w:eastAsia="Times New Roman" w:hAnsi="Times New Roman" w:cs="Times New Roman"/>
          <w:kern w:val="0"/>
          <w14:ligatures w14:val="none"/>
        </w:rPr>
        <w:t>the effect of the acquisition</w:t>
      </w:r>
      <w:r w:rsidRPr="00E16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0C3C">
        <w:rPr>
          <w:rFonts w:ascii="Times New Roman" w:eastAsia="Times New Roman" w:hAnsi="Times New Roman" w:cs="Times New Roman"/>
          <w:kern w:val="0"/>
          <w14:ligatures w14:val="none"/>
        </w:rPr>
        <w:t xml:space="preserve">on public attention to Twitter </w:t>
      </w:r>
      <w:r w:rsidRPr="00E16654">
        <w:rPr>
          <w:rFonts w:ascii="Times New Roman" w:eastAsia="Times New Roman" w:hAnsi="Times New Roman" w:cs="Times New Roman"/>
          <w:kern w:val="0"/>
          <w14:ligatures w14:val="none"/>
        </w:rPr>
        <w:t>was isolated</w:t>
      </w:r>
      <w:r w:rsidRPr="00730C3C">
        <w:rPr>
          <w:rFonts w:ascii="Times New Roman" w:eastAsia="Times New Roman" w:hAnsi="Times New Roman" w:cs="Times New Roman"/>
          <w:kern w:val="0"/>
          <w14:ligatures w14:val="none"/>
        </w:rPr>
        <w:t>, compared to other platforms.</w:t>
      </w:r>
    </w:p>
    <w:p w14:paraId="69068DA8" w14:textId="77777777" w:rsidR="00B50B72" w:rsidRPr="00E16654" w:rsidRDefault="00B50B72" w:rsidP="00B50B72">
      <w:pPr>
        <w:rPr>
          <w:rFonts w:ascii="Times New Roman" w:hAnsi="Times New Roman" w:cs="Times New Roman"/>
        </w:rPr>
      </w:pPr>
      <w:r w:rsidRPr="00E16654">
        <w:rPr>
          <w:rFonts w:ascii="Times New Roman" w:hAnsi="Times New Roman" w:cs="Times New Roman"/>
          <w:b/>
          <w:bCs/>
        </w:rPr>
        <w:t>2. Data</w:t>
      </w:r>
    </w:p>
    <w:p w14:paraId="3B7553C1" w14:textId="77777777" w:rsidR="00B50B72" w:rsidRPr="00730C3C" w:rsidRDefault="00B50B72" w:rsidP="00B50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C3C">
        <w:rPr>
          <w:rFonts w:ascii="Times New Roman" w:eastAsia="Times New Roman" w:hAnsi="Times New Roman" w:cs="Times New Roman"/>
          <w:kern w:val="0"/>
          <w14:ligatures w14:val="none"/>
        </w:rPr>
        <w:t xml:space="preserve">Search volume data were collected using the </w:t>
      </w:r>
      <w:proofErr w:type="spellStart"/>
      <w:r w:rsidRPr="00730C3C">
        <w:rPr>
          <w:rFonts w:ascii="Times New Roman" w:eastAsia="Times New Roman" w:hAnsi="Times New Roman" w:cs="Times New Roman"/>
          <w:kern w:val="0"/>
          <w14:ligatures w14:val="none"/>
        </w:rPr>
        <w:t>pytrends</w:t>
      </w:r>
      <w:proofErr w:type="spellEnd"/>
      <w:r w:rsidRPr="00730C3C">
        <w:rPr>
          <w:rFonts w:ascii="Times New Roman" w:eastAsia="Times New Roman" w:hAnsi="Times New Roman" w:cs="Times New Roman"/>
          <w:kern w:val="0"/>
          <w14:ligatures w14:val="none"/>
        </w:rPr>
        <w:t xml:space="preserve"> Python package, which allows for automated weekly data retrieval from Google Trends. Manual exports were initially tested but were found to be incomplete and inconsistent due </w:t>
      </w:r>
      <w:proofErr w:type="gramStart"/>
      <w:r w:rsidRPr="00730C3C">
        <w:rPr>
          <w:rFonts w:ascii="Times New Roman" w:eastAsia="Times New Roman" w:hAnsi="Times New Roman" w:cs="Times New Roman"/>
          <w:kern w:val="0"/>
          <w14:ligatures w14:val="none"/>
        </w:rPr>
        <w:t>to:</w:t>
      </w:r>
      <w:proofErr w:type="gramEnd"/>
      <w:r w:rsidRPr="005E7C9C">
        <w:rPr>
          <w:rFonts w:ascii="Times New Roman" w:eastAsia="Times New Roman" w:hAnsi="Times New Roman" w:cs="Times New Roman"/>
          <w:kern w:val="0"/>
          <w14:ligatures w14:val="none"/>
        </w:rPr>
        <w:t xml:space="preserve"> 1) </w:t>
      </w:r>
      <w:r w:rsidRPr="00730C3C">
        <w:rPr>
          <w:rFonts w:ascii="Times New Roman" w:eastAsia="Times New Roman" w:hAnsi="Times New Roman" w:cs="Times New Roman"/>
          <w:kern w:val="0"/>
          <w14:ligatures w14:val="none"/>
        </w:rPr>
        <w:t>Export restrictions on date range granularity</w:t>
      </w:r>
      <w:r w:rsidRPr="005E7C9C">
        <w:rPr>
          <w:rFonts w:ascii="Times New Roman" w:eastAsia="Times New Roman" w:hAnsi="Times New Roman" w:cs="Times New Roman"/>
          <w:kern w:val="0"/>
          <w14:ligatures w14:val="none"/>
        </w:rPr>
        <w:t xml:space="preserve">. 2) </w:t>
      </w:r>
      <w:r w:rsidRPr="00730C3C">
        <w:rPr>
          <w:rFonts w:ascii="Times New Roman" w:eastAsia="Times New Roman" w:hAnsi="Times New Roman" w:cs="Times New Roman"/>
          <w:kern w:val="0"/>
          <w14:ligatures w14:val="none"/>
        </w:rPr>
        <w:t>Platform-specific truncation</w:t>
      </w:r>
      <w:r w:rsidRPr="00E20842">
        <w:rPr>
          <w:rFonts w:ascii="Times New Roman" w:eastAsia="Times New Roman" w:hAnsi="Times New Roman" w:cs="Times New Roman"/>
          <w:kern w:val="0"/>
          <w14:ligatures w14:val="none"/>
        </w:rPr>
        <w:t xml:space="preserve">. 3) </w:t>
      </w:r>
      <w:r w:rsidRPr="00730C3C">
        <w:rPr>
          <w:rFonts w:ascii="Times New Roman" w:eastAsia="Times New Roman" w:hAnsi="Times New Roman" w:cs="Times New Roman"/>
          <w:kern w:val="0"/>
          <w14:ligatures w14:val="none"/>
        </w:rPr>
        <w:t>Region-based sampling bias.</w:t>
      </w:r>
    </w:p>
    <w:p w14:paraId="1F1AF160" w14:textId="77777777" w:rsidR="00B50B72" w:rsidRPr="00E16654" w:rsidRDefault="00B50B72" w:rsidP="00B50B7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C3C">
        <w:rPr>
          <w:rFonts w:ascii="Times New Roman" w:eastAsia="Times New Roman" w:hAnsi="Times New Roman" w:cs="Times New Roman"/>
          <w:kern w:val="0"/>
          <w14:ligatures w14:val="none"/>
        </w:rPr>
        <w:t>To address these issues, a VPN was used to ensure full-year access across all platforms and geographies. Data span January 2019 to December 2024, with global weekly interest values normalized between 0 and 100.</w:t>
      </w:r>
      <w:r w:rsidRPr="00142D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0C3C">
        <w:rPr>
          <w:rFonts w:ascii="Times New Roman" w:eastAsia="Times New Roman" w:hAnsi="Times New Roman" w:cs="Times New Roman"/>
          <w:kern w:val="0"/>
          <w14:ligatures w14:val="none"/>
        </w:rPr>
        <w:t>To make comparisons across platforms possible, the data were standardized (z-scores) within each platform.</w:t>
      </w:r>
    </w:p>
    <w:p w14:paraId="67AAB6AE" w14:textId="77777777" w:rsidR="00B50B72" w:rsidRPr="00730C3C" w:rsidRDefault="00B50B72" w:rsidP="00B50B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C3C">
        <w:rPr>
          <w:rFonts w:ascii="Times New Roman" w:eastAsia="Times New Roman" w:hAnsi="Times New Roman" w:cs="Times New Roman"/>
          <w:kern w:val="0"/>
          <w14:ligatures w14:val="none"/>
        </w:rPr>
        <w:t>Treatment group: Twitter</w:t>
      </w:r>
    </w:p>
    <w:p w14:paraId="1B2F2401" w14:textId="77777777" w:rsidR="00B50B72" w:rsidRPr="00730C3C" w:rsidRDefault="00B50B72" w:rsidP="00B50B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C3C">
        <w:rPr>
          <w:rFonts w:ascii="Times New Roman" w:eastAsia="Times New Roman" w:hAnsi="Times New Roman" w:cs="Times New Roman"/>
          <w:kern w:val="0"/>
          <w14:ligatures w14:val="none"/>
        </w:rPr>
        <w:t>Control group: Facebook, Instagram, TikTok, LinkedIn, YouTube</w:t>
      </w:r>
    </w:p>
    <w:p w14:paraId="7A84F853" w14:textId="77777777" w:rsidR="00B50B72" w:rsidRPr="00730C3C" w:rsidRDefault="00B50B72" w:rsidP="00B50B7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C3C">
        <w:rPr>
          <w:rFonts w:ascii="Times New Roman" w:eastAsia="Times New Roman" w:hAnsi="Times New Roman" w:cs="Times New Roman"/>
          <w:kern w:val="0"/>
          <w14:ligatures w14:val="none"/>
        </w:rPr>
        <w:t>Event date: April 14, 2022</w:t>
      </w:r>
    </w:p>
    <w:p w14:paraId="5A3790AC" w14:textId="77777777" w:rsidR="00B50B72" w:rsidRPr="00E16654" w:rsidRDefault="00B50B72" w:rsidP="00B50B72">
      <w:pPr>
        <w:rPr>
          <w:rFonts w:ascii="Times New Roman" w:hAnsi="Times New Roman" w:cs="Times New Roman"/>
        </w:rPr>
      </w:pPr>
      <w:r w:rsidRPr="00E16654">
        <w:rPr>
          <w:rFonts w:ascii="Times New Roman" w:hAnsi="Times New Roman" w:cs="Times New Roman"/>
          <w:b/>
          <w:bCs/>
        </w:rPr>
        <w:t>3. Empirical Design</w:t>
      </w:r>
    </w:p>
    <w:p w14:paraId="20B5EE87" w14:textId="77777777" w:rsidR="00B50B72" w:rsidRPr="00BF5D93" w:rsidRDefault="00B50B72" w:rsidP="00B50B72">
      <w:pPr>
        <w:rPr>
          <w:rFonts w:ascii="Times New Roman" w:hAnsi="Times New Roman" w:cs="Times New Roman"/>
        </w:rPr>
      </w:pPr>
      <w:r w:rsidRPr="00E16654">
        <w:rPr>
          <w:rFonts w:ascii="Times New Roman" w:hAnsi="Times New Roman" w:cs="Times New Roman"/>
        </w:rPr>
        <w:t xml:space="preserve">We estimate a standard </w:t>
      </w:r>
      <w:proofErr w:type="spellStart"/>
      <w:r w:rsidRPr="00E16654">
        <w:rPr>
          <w:rFonts w:ascii="Times New Roman" w:hAnsi="Times New Roman" w:cs="Times New Roman"/>
        </w:rPr>
        <w:t>DiD</w:t>
      </w:r>
      <w:proofErr w:type="spellEnd"/>
      <w:r w:rsidRPr="00E16654">
        <w:rPr>
          <w:rFonts w:ascii="Times New Roman" w:hAnsi="Times New Roman" w:cs="Times New Roman"/>
        </w:rPr>
        <w:t xml:space="preserve"> model:</w:t>
      </w:r>
    </w:p>
    <w:p w14:paraId="7E8C74ED" w14:textId="77777777" w:rsidR="00B50B72" w:rsidRPr="004C7761" w:rsidRDefault="00000000" w:rsidP="00B50B72">
      <w:pPr>
        <w:rPr>
          <w:rFonts w:ascii="Times New Roman" w:eastAsiaTheme="minorEastAsia" w:hAnsi="Times New Roman" w:cs="Times New Roman"/>
          <w:b/>
          <w:bCs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y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b/>
                      <w:bCs/>
                      <w:i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it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 w:cs="Times New Roman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ru-RU"/>
            </w:rPr>
            <m:t>Pos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ru-RU"/>
            </w:rPr>
            <m:t>Trea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Pos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×Trea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ru-RU"/>
                </w:rPr>
                <m:t>ε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b/>
                      <w:bCs/>
                      <w:i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ru-RU"/>
                    </w:rPr>
                    <m:t>it</m:t>
                  </m:r>
                </m:e>
              </m:d>
            </m:sub>
          </m:sSub>
        </m:oMath>
      </m:oMathPara>
    </w:p>
    <w:p w14:paraId="6D6E97AA" w14:textId="77777777" w:rsidR="00B50B72" w:rsidRPr="00E16654" w:rsidRDefault="00B50B72" w:rsidP="00B50B72">
      <w:pPr>
        <w:rPr>
          <w:rFonts w:ascii="Times New Roman" w:eastAsiaTheme="minorEastAsia" w:hAnsi="Times New Roman" w:cs="Times New Roman"/>
        </w:rPr>
      </w:pPr>
      <w:r w:rsidRPr="00E16654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:</m:t>
        </m:r>
      </m:oMath>
    </w:p>
    <w:p w14:paraId="46BD406E" w14:textId="77777777" w:rsidR="00B50B72" w:rsidRPr="00730C3C" w:rsidRDefault="00000000" w:rsidP="00B50B72">
      <w:pPr>
        <w:spacing w:after="0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t</m:t>
        </m:r>
      </m:oMath>
      <w:r w:rsidR="00B50B72" w:rsidRPr="00E16654">
        <w:rPr>
          <w:rFonts w:ascii="Times New Roman" w:hAnsi="Times New Roman" w:cs="Times New Roman"/>
          <w:i/>
        </w:rPr>
        <w:t xml:space="preserve"> </w:t>
      </w:r>
      <w:r w:rsidR="00B50B72" w:rsidRPr="00730C3C">
        <w:rPr>
          <w:rFonts w:ascii="Times New Roman" w:hAnsi="Times New Roman" w:cs="Times New Roman"/>
          <w:i/>
        </w:rPr>
        <w:t xml:space="preserve"> </w:t>
      </w:r>
      <w:r w:rsidR="00B50B72">
        <w:rPr>
          <w:rFonts w:ascii="Times New Roman" w:hAnsi="Times New Roman" w:cs="Times New Roman"/>
          <w:iCs/>
        </w:rPr>
        <w:t>Is</w:t>
      </w:r>
      <w:r w:rsidR="00B50B72" w:rsidRPr="00730C3C">
        <w:rPr>
          <w:rFonts w:ascii="Times New Roman" w:hAnsi="Times New Roman" w:cs="Times New Roman"/>
          <w:iCs/>
        </w:rPr>
        <w:t xml:space="preserve"> the standardized weekly search interest for platform </w:t>
      </w:r>
      <w:proofErr w:type="spellStart"/>
      <w:r w:rsidR="00B50B72" w:rsidRPr="00730C3C">
        <w:rPr>
          <w:rFonts w:ascii="Times New Roman" w:hAnsi="Times New Roman" w:cs="Times New Roman"/>
          <w:iCs/>
        </w:rPr>
        <w:t>i</w:t>
      </w:r>
      <w:proofErr w:type="spellEnd"/>
      <w:r w:rsidR="00B50B72" w:rsidRPr="00730C3C">
        <w:rPr>
          <w:rFonts w:ascii="Times New Roman" w:hAnsi="Times New Roman" w:cs="Times New Roman"/>
          <w:iCs/>
        </w:rPr>
        <w:t xml:space="preserve"> at time t</w:t>
      </w:r>
    </w:p>
    <w:p w14:paraId="655D968C" w14:textId="77777777" w:rsidR="00B50B72" w:rsidRPr="00730C3C" w:rsidRDefault="00B50B72" w:rsidP="00B50B72">
      <w:pPr>
        <w:spacing w:after="0"/>
        <w:rPr>
          <w:rFonts w:ascii="Times New Roman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>Trea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Pr="00730C3C">
        <w:rPr>
          <w:rFonts w:ascii="Times New Roman" w:hAnsi="Times New Roman" w:cs="Times New Roman"/>
          <w:i/>
        </w:rPr>
        <w:t xml:space="preserve"> = </w:t>
      </w:r>
      <w:r w:rsidRPr="00730C3C">
        <w:rPr>
          <w:rFonts w:ascii="Times New Roman" w:hAnsi="Times New Roman" w:cs="Times New Roman"/>
          <w:iCs/>
        </w:rPr>
        <w:t>1 if the platform is Twitter,</w:t>
      </w:r>
    </w:p>
    <w:p w14:paraId="526569DA" w14:textId="77777777" w:rsidR="00B50B72" w:rsidRPr="00730C3C" w:rsidRDefault="00B50B72" w:rsidP="00B50B72">
      <w:pPr>
        <w:spacing w:after="0"/>
        <w:rPr>
          <w:rFonts w:ascii="Times New Roman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>Pos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Pr="00E16654">
        <w:rPr>
          <w:rFonts w:ascii="Times New Roman" w:hAnsi="Times New Roman" w:cs="Times New Roman"/>
          <w:i/>
        </w:rPr>
        <w:t xml:space="preserve"> </w:t>
      </w:r>
      <w:r w:rsidRPr="00730C3C">
        <w:rPr>
          <w:rFonts w:ascii="Times New Roman" w:hAnsi="Times New Roman" w:cs="Times New Roman"/>
          <w:i/>
        </w:rPr>
        <w:t xml:space="preserve"> = </w:t>
      </w:r>
      <w:r w:rsidRPr="00730C3C">
        <w:rPr>
          <w:rFonts w:ascii="Times New Roman" w:hAnsi="Times New Roman" w:cs="Times New Roman"/>
          <w:iCs/>
        </w:rPr>
        <w:t>1 for dates on or after April 14, 2022,</w:t>
      </w:r>
    </w:p>
    <w:p w14:paraId="179AA6BE" w14:textId="77777777" w:rsidR="00B50B72" w:rsidRPr="00730C3C" w:rsidRDefault="00B50B72" w:rsidP="00B50B72">
      <w:pPr>
        <w:spacing w:after="0"/>
        <w:rPr>
          <w:rFonts w:ascii="Times New Roman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>Pos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×Trea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Pr="00E1665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Cs/>
        </w:rPr>
        <w:t>Is</w:t>
      </w:r>
      <w:r w:rsidRPr="00730C3C">
        <w:rPr>
          <w:rFonts w:ascii="Times New Roman" w:hAnsi="Times New Roman" w:cs="Times New Roman"/>
          <w:iCs/>
        </w:rPr>
        <w:t xml:space="preserve"> the interaction term capturing the treatment effect</w:t>
      </w:r>
    </w:p>
    <w:p w14:paraId="22FB72A2" w14:textId="77777777" w:rsidR="00B50B72" w:rsidRPr="00730C3C" w:rsidRDefault="00000000" w:rsidP="00B50B72">
      <w:pPr>
        <w:spacing w:after="0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B50B72" w:rsidRPr="00E16654">
        <w:rPr>
          <w:rFonts w:ascii="Times New Roman" w:hAnsi="Times New Roman" w:cs="Times New Roman"/>
          <w:i/>
        </w:rPr>
        <w:t xml:space="preserve"> </w:t>
      </w:r>
      <w:r w:rsidR="00B50B72">
        <w:rPr>
          <w:rFonts w:ascii="Times New Roman" w:hAnsi="Times New Roman" w:cs="Times New Roman"/>
          <w:iCs/>
        </w:rPr>
        <w:t>Represent</w:t>
      </w:r>
      <w:r w:rsidR="00B50B72" w:rsidRPr="00730C3C">
        <w:rPr>
          <w:rFonts w:ascii="Times New Roman" w:hAnsi="Times New Roman" w:cs="Times New Roman"/>
          <w:iCs/>
        </w:rPr>
        <w:t xml:space="preserve"> time and platform fixed effects,</w:t>
      </w:r>
    </w:p>
    <w:p w14:paraId="23697FC1" w14:textId="77777777" w:rsidR="00B50B72" w:rsidRPr="00E16654" w:rsidRDefault="00000000" w:rsidP="00B50B72">
      <w:pPr>
        <w:spacing w:after="0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ε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it</m:t>
                </m:r>
              </m:e>
            </m:d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B50B72" w:rsidRPr="00730C3C">
        <w:rPr>
          <w:rFonts w:ascii="Times New Roman" w:hAnsi="Times New Roman" w:cs="Times New Roman"/>
          <w:iCs/>
        </w:rPr>
        <w:t>Standard errors are clustered at the platform level.</w:t>
      </w:r>
    </w:p>
    <w:p w14:paraId="2156CCDB" w14:textId="77777777" w:rsidR="00B50B72" w:rsidRPr="00730C3C" w:rsidRDefault="00B50B72" w:rsidP="00B50B72">
      <w:pPr>
        <w:rPr>
          <w:rFonts w:ascii="Times New Roman" w:hAnsi="Times New Roman" w:cs="Times New Roman"/>
          <w:i/>
        </w:rPr>
      </w:pPr>
      <w:r w:rsidRPr="00730C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16654"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730C3C">
        <w:rPr>
          <w:rFonts w:ascii="Times New Roman" w:eastAsia="Times New Roman" w:hAnsi="Times New Roman" w:cs="Times New Roman"/>
          <w:kern w:val="0"/>
          <w14:ligatures w14:val="none"/>
        </w:rPr>
        <w:t>lso</w:t>
      </w:r>
      <w:r w:rsidRPr="00E16654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730C3C">
        <w:rPr>
          <w:rFonts w:ascii="Times New Roman" w:eastAsia="Times New Roman" w:hAnsi="Times New Roman" w:cs="Times New Roman"/>
          <w:kern w:val="0"/>
          <w14:ligatures w14:val="none"/>
        </w:rPr>
        <w:t xml:space="preserve"> an event study specification </w:t>
      </w:r>
      <w:r w:rsidRPr="00E16654">
        <w:rPr>
          <w:rFonts w:ascii="Times New Roman" w:eastAsia="Times New Roman" w:hAnsi="Times New Roman" w:cs="Times New Roman"/>
          <w:kern w:val="0"/>
          <w14:ligatures w14:val="none"/>
        </w:rPr>
        <w:t xml:space="preserve">was estimated </w:t>
      </w:r>
      <w:r w:rsidRPr="00730C3C">
        <w:rPr>
          <w:rFonts w:ascii="Times New Roman" w:eastAsia="Times New Roman" w:hAnsi="Times New Roman" w:cs="Times New Roman"/>
          <w:kern w:val="0"/>
          <w14:ligatures w14:val="none"/>
        </w:rPr>
        <w:t>using week-level dummy variables relative to the event date to:</w:t>
      </w:r>
      <w:r w:rsidRPr="005E7C9C">
        <w:rPr>
          <w:rFonts w:ascii="Times New Roman" w:hAnsi="Times New Roman" w:cs="Times New Roman"/>
          <w:i/>
        </w:rPr>
        <w:t xml:space="preserve"> </w:t>
      </w:r>
      <w:r w:rsidRPr="00730C3C">
        <w:rPr>
          <w:rFonts w:ascii="Times New Roman" w:eastAsia="Times New Roman" w:hAnsi="Times New Roman" w:cs="Times New Roman"/>
          <w:kern w:val="0"/>
          <w14:ligatures w14:val="none"/>
        </w:rPr>
        <w:t>Check the parallel trends assumption,</w:t>
      </w:r>
      <w:r w:rsidRPr="005E7C9C">
        <w:rPr>
          <w:rFonts w:ascii="Times New Roman" w:hAnsi="Times New Roman" w:cs="Times New Roman"/>
          <w:i/>
        </w:rPr>
        <w:t xml:space="preserve"> </w:t>
      </w:r>
      <w:r w:rsidRPr="00730C3C">
        <w:rPr>
          <w:rFonts w:ascii="Times New Roman" w:eastAsia="Times New Roman" w:hAnsi="Times New Roman" w:cs="Times New Roman"/>
          <w:kern w:val="0"/>
          <w14:ligatures w14:val="none"/>
        </w:rPr>
        <w:t>Visualize dynamic treatment effects over ±12 weeks.</w:t>
      </w:r>
    </w:p>
    <w:p w14:paraId="19FDBAD0" w14:textId="77777777" w:rsidR="00B50B72" w:rsidRPr="00E16654" w:rsidRDefault="00B50B72" w:rsidP="00B50B72">
      <w:pPr>
        <w:rPr>
          <w:rFonts w:ascii="Times New Roman" w:hAnsi="Times New Roman" w:cs="Times New Roman"/>
        </w:rPr>
      </w:pPr>
      <w:r w:rsidRPr="00E16654">
        <w:rPr>
          <w:rFonts w:ascii="Times New Roman" w:hAnsi="Times New Roman" w:cs="Times New Roman"/>
          <w:b/>
          <w:bCs/>
        </w:rPr>
        <w:t>4. Results</w:t>
      </w:r>
    </w:p>
    <w:p w14:paraId="35F47B74" w14:textId="77777777" w:rsidR="00B50B72" w:rsidRPr="006C1426" w:rsidRDefault="00B50B72" w:rsidP="00B50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142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6C1426">
        <w:rPr>
          <w:rFonts w:ascii="Times New Roman" w:eastAsia="Times New Roman" w:hAnsi="Times New Roman" w:cs="Times New Roman"/>
          <w:kern w:val="0"/>
          <w14:ligatures w14:val="none"/>
        </w:rPr>
        <w:t>DiD</w:t>
      </w:r>
      <w:proofErr w:type="spellEnd"/>
      <w:r w:rsidRPr="006C1426">
        <w:rPr>
          <w:rFonts w:ascii="Times New Roman" w:eastAsia="Times New Roman" w:hAnsi="Times New Roman" w:cs="Times New Roman"/>
          <w:kern w:val="0"/>
          <w14:ligatures w14:val="none"/>
        </w:rPr>
        <w:t xml:space="preserve"> regression results (table below) show that the interaction term </w:t>
      </w:r>
      <w:r w:rsidRPr="006C14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× Treatment</w:t>
      </w:r>
      <w:r w:rsidRPr="006C1426">
        <w:rPr>
          <w:rFonts w:ascii="Times New Roman" w:eastAsia="Times New Roman" w:hAnsi="Times New Roman" w:cs="Times New Roman"/>
          <w:kern w:val="0"/>
          <w14:ligatures w14:val="none"/>
        </w:rPr>
        <w:t>, which captures the differential effect of the announcement on Twitter versus other platforms, is negative and statistically insignificant: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7F68">
        <w:rPr>
          <w:rFonts w:ascii="Times New Roman" w:eastAsia="Times New Roman" w:hAnsi="Times New Roman" w:cs="Times New Roman"/>
          <w:kern w:val="0"/>
          <w14:ligatures w14:val="none"/>
        </w:rPr>
        <w:t>Coefficient = –0.2586, p-value</w:t>
      </w:r>
      <w:r w:rsidRPr="006C1426">
        <w:rPr>
          <w:rFonts w:ascii="Times New Roman" w:eastAsia="Times New Roman" w:hAnsi="Times New Roman" w:cs="Times New Roman"/>
          <w:kern w:val="0"/>
          <w14:ligatures w14:val="none"/>
        </w:rPr>
        <w:t xml:space="preserve"> = 0.479</w:t>
      </w:r>
    </w:p>
    <w:p w14:paraId="7F30EC53" w14:textId="77777777" w:rsidR="00B50B72" w:rsidRPr="006C1426" w:rsidRDefault="00B50B72" w:rsidP="00B50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1426">
        <w:rPr>
          <w:rFonts w:ascii="Times New Roman" w:eastAsia="Times New Roman" w:hAnsi="Times New Roman" w:cs="Times New Roman"/>
          <w:kern w:val="0"/>
          <w14:ligatures w14:val="none"/>
        </w:rPr>
        <w:t xml:space="preserve">This suggests that Twitter's search interest did not increase significantly relative to the control platforms after the event. </w:t>
      </w:r>
      <w:r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Pr="006C1426">
        <w:rPr>
          <w:rFonts w:ascii="Times New Roman" w:eastAsia="Times New Roman" w:hAnsi="Times New Roman" w:cs="Times New Roman"/>
          <w:kern w:val="0"/>
          <w14:ligatures w14:val="none"/>
        </w:rPr>
        <w:t xml:space="preserve"> estimated effect is negative, though imprecise. Post (1.0731, p = 0.002): search volume increased on average across all platforms after April 14, 2022.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1426">
        <w:rPr>
          <w:rFonts w:ascii="Times New Roman" w:eastAsia="Times New Roman" w:hAnsi="Times New Roman" w:cs="Times New Roman"/>
          <w:kern w:val="0"/>
          <w14:ligatures w14:val="none"/>
        </w:rPr>
        <w:t xml:space="preserve">Treatment (–0.4382, p = 0.025): Twitter had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6C1426">
        <w:rPr>
          <w:rFonts w:ascii="Times New Roman" w:eastAsia="Times New Roman" w:hAnsi="Times New Roman" w:cs="Times New Roman"/>
          <w:kern w:val="0"/>
          <w14:ligatures w14:val="none"/>
        </w:rPr>
        <w:t>lower average baseline interest compared to other platforms. Trend × Treatment (0.0055, p = 0.114): not statistically significant, suggesting no strong differential trend for Twitter.</w:t>
      </w:r>
    </w:p>
    <w:tbl>
      <w:tblPr>
        <w:tblW w:w="9361" w:type="dxa"/>
        <w:tblCellSpacing w:w="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1200"/>
        <w:gridCol w:w="1093"/>
        <w:gridCol w:w="1046"/>
        <w:gridCol w:w="998"/>
        <w:gridCol w:w="1427"/>
        <w:gridCol w:w="1374"/>
      </w:tblGrid>
      <w:tr w:rsidR="00B50B72" w:rsidRPr="0078315E" w14:paraId="024FF4F1" w14:textId="77777777" w:rsidTr="00E5368B">
        <w:trPr>
          <w:trHeight w:val="450"/>
          <w:tblHeader/>
          <w:tblCellSpacing w:w="15" w:type="dxa"/>
        </w:trPr>
        <w:tc>
          <w:tcPr>
            <w:tcW w:w="2178" w:type="dxa"/>
            <w:vAlign w:val="center"/>
            <w:hideMark/>
          </w:tcPr>
          <w:p w14:paraId="12E72E88" w14:textId="77777777" w:rsidR="00B50B72" w:rsidRPr="0078315E" w:rsidRDefault="00B50B72" w:rsidP="00E5368B">
            <w:pPr>
              <w:rPr>
                <w:rFonts w:ascii="Times New Roman" w:hAnsi="Times New Roman" w:cs="Times New Roman"/>
                <w:b/>
                <w:bCs/>
              </w:rPr>
            </w:pPr>
            <w:r w:rsidRPr="0078315E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49F0CCFB" w14:textId="77777777" w:rsidR="00B50B72" w:rsidRPr="0078315E" w:rsidRDefault="00B50B72" w:rsidP="00E5368B">
            <w:pPr>
              <w:rPr>
                <w:rFonts w:ascii="Times New Roman" w:hAnsi="Times New Roman" w:cs="Times New Roman"/>
                <w:b/>
                <w:bCs/>
              </w:rPr>
            </w:pPr>
            <w:r w:rsidRPr="0078315E">
              <w:rPr>
                <w:rFonts w:ascii="Times New Roman" w:hAnsi="Times New Roman" w:cs="Times New Roman"/>
                <w:b/>
                <w:bCs/>
              </w:rPr>
              <w:t>Coefficient</w:t>
            </w:r>
          </w:p>
        </w:tc>
        <w:tc>
          <w:tcPr>
            <w:tcW w:w="0" w:type="auto"/>
            <w:vAlign w:val="center"/>
            <w:hideMark/>
          </w:tcPr>
          <w:p w14:paraId="35F48E27" w14:textId="77777777" w:rsidR="00B50B72" w:rsidRPr="0078315E" w:rsidRDefault="00B50B72" w:rsidP="00E5368B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78315E">
              <w:rPr>
                <w:rFonts w:ascii="Times New Roman" w:hAnsi="Times New Roman" w:cs="Times New Roman"/>
                <w:b/>
                <w:bCs/>
              </w:rPr>
              <w:t>Std. Error</w:t>
            </w:r>
          </w:p>
        </w:tc>
        <w:tc>
          <w:tcPr>
            <w:tcW w:w="1016" w:type="dxa"/>
            <w:vAlign w:val="center"/>
            <w:hideMark/>
          </w:tcPr>
          <w:p w14:paraId="01FE4743" w14:textId="77777777" w:rsidR="00B50B72" w:rsidRPr="0078315E" w:rsidRDefault="00B50B72" w:rsidP="00E5368B">
            <w:pPr>
              <w:rPr>
                <w:rFonts w:ascii="Times New Roman" w:hAnsi="Times New Roman" w:cs="Times New Roman"/>
                <w:b/>
                <w:bCs/>
              </w:rPr>
            </w:pPr>
            <w:r w:rsidRPr="0078315E">
              <w:rPr>
                <w:rFonts w:ascii="Times New Roman" w:hAnsi="Times New Roman" w:cs="Times New Roman"/>
                <w:b/>
                <w:bCs/>
              </w:rPr>
              <w:t>z-Stat</w:t>
            </w:r>
          </w:p>
        </w:tc>
        <w:tc>
          <w:tcPr>
            <w:tcW w:w="968" w:type="dxa"/>
            <w:vAlign w:val="center"/>
            <w:hideMark/>
          </w:tcPr>
          <w:p w14:paraId="130087B2" w14:textId="77777777" w:rsidR="00B50B72" w:rsidRPr="0078315E" w:rsidRDefault="00B50B72" w:rsidP="00E5368B">
            <w:pPr>
              <w:rPr>
                <w:rFonts w:ascii="Times New Roman" w:hAnsi="Times New Roman" w:cs="Times New Roman"/>
                <w:b/>
                <w:bCs/>
              </w:rPr>
            </w:pPr>
            <w:r w:rsidRPr="0078315E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  <w:tc>
          <w:tcPr>
            <w:tcW w:w="1397" w:type="dxa"/>
            <w:vAlign w:val="center"/>
            <w:hideMark/>
          </w:tcPr>
          <w:p w14:paraId="16626D8B" w14:textId="77777777" w:rsidR="00B50B72" w:rsidRPr="0078315E" w:rsidRDefault="00B50B72" w:rsidP="00E5368B">
            <w:pPr>
              <w:rPr>
                <w:rFonts w:ascii="Times New Roman" w:hAnsi="Times New Roman" w:cs="Times New Roman"/>
                <w:b/>
                <w:bCs/>
              </w:rPr>
            </w:pPr>
            <w:r w:rsidRPr="0078315E">
              <w:rPr>
                <w:rFonts w:ascii="Times New Roman" w:hAnsi="Times New Roman" w:cs="Times New Roman"/>
                <w:b/>
                <w:bCs/>
              </w:rPr>
              <w:t>95% CI (Lower)</w:t>
            </w:r>
          </w:p>
        </w:tc>
        <w:tc>
          <w:tcPr>
            <w:tcW w:w="1329" w:type="dxa"/>
            <w:vAlign w:val="center"/>
            <w:hideMark/>
          </w:tcPr>
          <w:p w14:paraId="5911289D" w14:textId="77777777" w:rsidR="00B50B72" w:rsidRPr="0078315E" w:rsidRDefault="00B50B72" w:rsidP="00E5368B">
            <w:pPr>
              <w:rPr>
                <w:rFonts w:ascii="Times New Roman" w:hAnsi="Times New Roman" w:cs="Times New Roman"/>
                <w:b/>
                <w:bCs/>
              </w:rPr>
            </w:pPr>
            <w:r w:rsidRPr="0078315E">
              <w:rPr>
                <w:rFonts w:ascii="Times New Roman" w:hAnsi="Times New Roman" w:cs="Times New Roman"/>
                <w:b/>
                <w:bCs/>
              </w:rPr>
              <w:t>95% CI (Upper)</w:t>
            </w:r>
          </w:p>
        </w:tc>
      </w:tr>
      <w:tr w:rsidR="00B50B72" w:rsidRPr="0078315E" w14:paraId="09B7FB08" w14:textId="77777777" w:rsidTr="00E5368B">
        <w:trPr>
          <w:trHeight w:val="311"/>
          <w:tblCellSpacing w:w="15" w:type="dxa"/>
        </w:trPr>
        <w:tc>
          <w:tcPr>
            <w:tcW w:w="2178" w:type="dxa"/>
            <w:vAlign w:val="center"/>
            <w:hideMark/>
          </w:tcPr>
          <w:p w14:paraId="5074763A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  <w:b/>
                <w:bCs/>
              </w:rPr>
              <w:t>Treatment</w:t>
            </w:r>
          </w:p>
        </w:tc>
        <w:tc>
          <w:tcPr>
            <w:tcW w:w="0" w:type="auto"/>
            <w:vAlign w:val="center"/>
            <w:hideMark/>
          </w:tcPr>
          <w:p w14:paraId="1EE85D26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–0.4382</w:t>
            </w:r>
          </w:p>
        </w:tc>
        <w:tc>
          <w:tcPr>
            <w:tcW w:w="0" w:type="auto"/>
            <w:vAlign w:val="center"/>
            <w:hideMark/>
          </w:tcPr>
          <w:p w14:paraId="534A4F9F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0.196</w:t>
            </w:r>
          </w:p>
        </w:tc>
        <w:tc>
          <w:tcPr>
            <w:tcW w:w="1016" w:type="dxa"/>
            <w:vAlign w:val="center"/>
            <w:hideMark/>
          </w:tcPr>
          <w:p w14:paraId="64DD7847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–2.23</w:t>
            </w:r>
          </w:p>
        </w:tc>
        <w:tc>
          <w:tcPr>
            <w:tcW w:w="968" w:type="dxa"/>
            <w:vAlign w:val="center"/>
            <w:hideMark/>
          </w:tcPr>
          <w:p w14:paraId="1F5C1CC1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0.025</w:t>
            </w:r>
          </w:p>
        </w:tc>
        <w:tc>
          <w:tcPr>
            <w:tcW w:w="1397" w:type="dxa"/>
            <w:vAlign w:val="center"/>
            <w:hideMark/>
          </w:tcPr>
          <w:p w14:paraId="2BC7CD3D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–0.823</w:t>
            </w:r>
          </w:p>
        </w:tc>
        <w:tc>
          <w:tcPr>
            <w:tcW w:w="1329" w:type="dxa"/>
            <w:vAlign w:val="center"/>
            <w:hideMark/>
          </w:tcPr>
          <w:p w14:paraId="2B196EAF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–0.054</w:t>
            </w:r>
          </w:p>
        </w:tc>
      </w:tr>
      <w:tr w:rsidR="00B50B72" w:rsidRPr="0078315E" w14:paraId="5F975392" w14:textId="77777777" w:rsidTr="00E5368B">
        <w:trPr>
          <w:trHeight w:val="379"/>
          <w:tblCellSpacing w:w="15" w:type="dxa"/>
        </w:trPr>
        <w:tc>
          <w:tcPr>
            <w:tcW w:w="2178" w:type="dxa"/>
            <w:vAlign w:val="center"/>
            <w:hideMark/>
          </w:tcPr>
          <w:p w14:paraId="72261202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98DC818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1.0731</w:t>
            </w:r>
          </w:p>
        </w:tc>
        <w:tc>
          <w:tcPr>
            <w:tcW w:w="0" w:type="auto"/>
            <w:vAlign w:val="center"/>
            <w:hideMark/>
          </w:tcPr>
          <w:p w14:paraId="0F4213D1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0.353</w:t>
            </w:r>
          </w:p>
        </w:tc>
        <w:tc>
          <w:tcPr>
            <w:tcW w:w="1016" w:type="dxa"/>
            <w:vAlign w:val="center"/>
            <w:hideMark/>
          </w:tcPr>
          <w:p w14:paraId="74FEFD42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3.04</w:t>
            </w:r>
          </w:p>
        </w:tc>
        <w:tc>
          <w:tcPr>
            <w:tcW w:w="968" w:type="dxa"/>
            <w:vAlign w:val="center"/>
            <w:hideMark/>
          </w:tcPr>
          <w:p w14:paraId="7546BFFD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1397" w:type="dxa"/>
            <w:vAlign w:val="center"/>
            <w:hideMark/>
          </w:tcPr>
          <w:p w14:paraId="36404638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0.381</w:t>
            </w:r>
          </w:p>
        </w:tc>
        <w:tc>
          <w:tcPr>
            <w:tcW w:w="1329" w:type="dxa"/>
            <w:vAlign w:val="center"/>
            <w:hideMark/>
          </w:tcPr>
          <w:p w14:paraId="5AD2AF2E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1.766</w:t>
            </w:r>
          </w:p>
        </w:tc>
      </w:tr>
      <w:tr w:rsidR="00B50B72" w:rsidRPr="0078315E" w14:paraId="261BAC89" w14:textId="77777777" w:rsidTr="00E5368B">
        <w:trPr>
          <w:trHeight w:val="379"/>
          <w:tblCellSpacing w:w="15" w:type="dxa"/>
        </w:trPr>
        <w:tc>
          <w:tcPr>
            <w:tcW w:w="2178" w:type="dxa"/>
            <w:vAlign w:val="center"/>
            <w:hideMark/>
          </w:tcPr>
          <w:p w14:paraId="4B6DFC67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  <w:b/>
                <w:bCs/>
              </w:rPr>
              <w:t>Post × Treatment</w:t>
            </w:r>
          </w:p>
        </w:tc>
        <w:tc>
          <w:tcPr>
            <w:tcW w:w="0" w:type="auto"/>
            <w:vAlign w:val="center"/>
            <w:hideMark/>
          </w:tcPr>
          <w:p w14:paraId="5578D8A1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–0.2586</w:t>
            </w:r>
          </w:p>
        </w:tc>
        <w:tc>
          <w:tcPr>
            <w:tcW w:w="0" w:type="auto"/>
            <w:vAlign w:val="center"/>
            <w:hideMark/>
          </w:tcPr>
          <w:p w14:paraId="181B70D5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0.366</w:t>
            </w:r>
          </w:p>
        </w:tc>
        <w:tc>
          <w:tcPr>
            <w:tcW w:w="1016" w:type="dxa"/>
            <w:vAlign w:val="center"/>
            <w:hideMark/>
          </w:tcPr>
          <w:p w14:paraId="6FC454C5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–0.71</w:t>
            </w:r>
          </w:p>
        </w:tc>
        <w:tc>
          <w:tcPr>
            <w:tcW w:w="968" w:type="dxa"/>
            <w:vAlign w:val="center"/>
            <w:hideMark/>
          </w:tcPr>
          <w:p w14:paraId="59F50F03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0.479</w:t>
            </w:r>
          </w:p>
        </w:tc>
        <w:tc>
          <w:tcPr>
            <w:tcW w:w="1397" w:type="dxa"/>
            <w:vAlign w:val="center"/>
            <w:hideMark/>
          </w:tcPr>
          <w:p w14:paraId="294DD343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–0.975</w:t>
            </w:r>
          </w:p>
        </w:tc>
        <w:tc>
          <w:tcPr>
            <w:tcW w:w="1329" w:type="dxa"/>
            <w:vAlign w:val="center"/>
            <w:hideMark/>
          </w:tcPr>
          <w:p w14:paraId="29AE7DC5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0.458</w:t>
            </w:r>
          </w:p>
        </w:tc>
      </w:tr>
      <w:tr w:rsidR="00B50B72" w:rsidRPr="0078315E" w14:paraId="33C880E9" w14:textId="77777777" w:rsidTr="00E5368B">
        <w:trPr>
          <w:trHeight w:val="379"/>
          <w:tblCellSpacing w:w="15" w:type="dxa"/>
        </w:trPr>
        <w:tc>
          <w:tcPr>
            <w:tcW w:w="2178" w:type="dxa"/>
            <w:vAlign w:val="center"/>
            <w:hideMark/>
          </w:tcPr>
          <w:p w14:paraId="0EB6BF91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  <w:b/>
                <w:bCs/>
              </w:rPr>
              <w:t>Time Trend</w:t>
            </w:r>
          </w:p>
        </w:tc>
        <w:tc>
          <w:tcPr>
            <w:tcW w:w="0" w:type="auto"/>
            <w:vAlign w:val="center"/>
            <w:hideMark/>
          </w:tcPr>
          <w:p w14:paraId="13DFCF35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–0.0033</w:t>
            </w:r>
          </w:p>
        </w:tc>
        <w:tc>
          <w:tcPr>
            <w:tcW w:w="0" w:type="auto"/>
            <w:vAlign w:val="center"/>
            <w:hideMark/>
          </w:tcPr>
          <w:p w14:paraId="0C1CDA35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1016" w:type="dxa"/>
            <w:vAlign w:val="center"/>
            <w:hideMark/>
          </w:tcPr>
          <w:p w14:paraId="49EBCE56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–0.97</w:t>
            </w:r>
          </w:p>
        </w:tc>
        <w:tc>
          <w:tcPr>
            <w:tcW w:w="968" w:type="dxa"/>
            <w:vAlign w:val="center"/>
            <w:hideMark/>
          </w:tcPr>
          <w:p w14:paraId="7657A416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0.331</w:t>
            </w:r>
          </w:p>
        </w:tc>
        <w:tc>
          <w:tcPr>
            <w:tcW w:w="1397" w:type="dxa"/>
            <w:vAlign w:val="center"/>
            <w:hideMark/>
          </w:tcPr>
          <w:p w14:paraId="1B3EE0F2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–0.010</w:t>
            </w:r>
          </w:p>
        </w:tc>
        <w:tc>
          <w:tcPr>
            <w:tcW w:w="1329" w:type="dxa"/>
            <w:vAlign w:val="center"/>
            <w:hideMark/>
          </w:tcPr>
          <w:p w14:paraId="56486E9E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0.003</w:t>
            </w:r>
          </w:p>
        </w:tc>
      </w:tr>
      <w:tr w:rsidR="00B50B72" w:rsidRPr="0078315E" w14:paraId="3FCA12E2" w14:textId="77777777" w:rsidTr="00E5368B">
        <w:trPr>
          <w:trHeight w:val="379"/>
          <w:tblCellSpacing w:w="15" w:type="dxa"/>
        </w:trPr>
        <w:tc>
          <w:tcPr>
            <w:tcW w:w="2178" w:type="dxa"/>
            <w:vAlign w:val="center"/>
            <w:hideMark/>
          </w:tcPr>
          <w:p w14:paraId="2E06387F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  <w:b/>
                <w:bCs/>
              </w:rPr>
              <w:t>Trend × Treatment</w:t>
            </w:r>
          </w:p>
        </w:tc>
        <w:tc>
          <w:tcPr>
            <w:tcW w:w="0" w:type="auto"/>
            <w:vAlign w:val="center"/>
            <w:hideMark/>
          </w:tcPr>
          <w:p w14:paraId="3FB22F69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0.0055</w:t>
            </w:r>
          </w:p>
        </w:tc>
        <w:tc>
          <w:tcPr>
            <w:tcW w:w="0" w:type="auto"/>
            <w:vAlign w:val="center"/>
            <w:hideMark/>
          </w:tcPr>
          <w:p w14:paraId="31D1AFBA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0.003</w:t>
            </w:r>
          </w:p>
        </w:tc>
        <w:tc>
          <w:tcPr>
            <w:tcW w:w="1016" w:type="dxa"/>
            <w:vAlign w:val="center"/>
            <w:hideMark/>
          </w:tcPr>
          <w:p w14:paraId="544F5194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1.58</w:t>
            </w:r>
          </w:p>
        </w:tc>
        <w:tc>
          <w:tcPr>
            <w:tcW w:w="968" w:type="dxa"/>
            <w:vAlign w:val="center"/>
            <w:hideMark/>
          </w:tcPr>
          <w:p w14:paraId="01F980E6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0.114</w:t>
            </w:r>
          </w:p>
        </w:tc>
        <w:tc>
          <w:tcPr>
            <w:tcW w:w="1397" w:type="dxa"/>
            <w:vAlign w:val="center"/>
            <w:hideMark/>
          </w:tcPr>
          <w:p w14:paraId="5BD29AC5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–0.001</w:t>
            </w:r>
          </w:p>
        </w:tc>
        <w:tc>
          <w:tcPr>
            <w:tcW w:w="1329" w:type="dxa"/>
            <w:vAlign w:val="center"/>
            <w:hideMark/>
          </w:tcPr>
          <w:p w14:paraId="39885FA5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0.012</w:t>
            </w:r>
          </w:p>
        </w:tc>
      </w:tr>
      <w:tr w:rsidR="00B50B72" w:rsidRPr="0078315E" w14:paraId="43517AEC" w14:textId="77777777" w:rsidTr="00E5368B">
        <w:trPr>
          <w:trHeight w:val="379"/>
          <w:tblCellSpacing w:w="15" w:type="dxa"/>
        </w:trPr>
        <w:tc>
          <w:tcPr>
            <w:tcW w:w="2178" w:type="dxa"/>
            <w:vAlign w:val="center"/>
            <w:hideMark/>
          </w:tcPr>
          <w:p w14:paraId="46434F0E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  <w:b/>
                <w:bCs/>
              </w:rPr>
              <w:t>Platform: TikTok</w:t>
            </w:r>
          </w:p>
        </w:tc>
        <w:tc>
          <w:tcPr>
            <w:tcW w:w="0" w:type="auto"/>
            <w:vAlign w:val="center"/>
            <w:hideMark/>
          </w:tcPr>
          <w:p w14:paraId="1F3C9598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–0.0104</w:t>
            </w:r>
          </w:p>
        </w:tc>
        <w:tc>
          <w:tcPr>
            <w:tcW w:w="0" w:type="auto"/>
            <w:vAlign w:val="center"/>
            <w:hideMark/>
          </w:tcPr>
          <w:p w14:paraId="7243A2F6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0.058</w:t>
            </w:r>
          </w:p>
        </w:tc>
        <w:tc>
          <w:tcPr>
            <w:tcW w:w="1016" w:type="dxa"/>
            <w:vAlign w:val="center"/>
            <w:hideMark/>
          </w:tcPr>
          <w:p w14:paraId="27CFA0CB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–0.18</w:t>
            </w:r>
          </w:p>
        </w:tc>
        <w:tc>
          <w:tcPr>
            <w:tcW w:w="968" w:type="dxa"/>
            <w:vAlign w:val="center"/>
            <w:hideMark/>
          </w:tcPr>
          <w:p w14:paraId="63585519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0.858</w:t>
            </w:r>
          </w:p>
        </w:tc>
        <w:tc>
          <w:tcPr>
            <w:tcW w:w="1397" w:type="dxa"/>
            <w:vAlign w:val="center"/>
            <w:hideMark/>
          </w:tcPr>
          <w:p w14:paraId="4EC5999D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–0.124</w:t>
            </w:r>
          </w:p>
        </w:tc>
        <w:tc>
          <w:tcPr>
            <w:tcW w:w="1329" w:type="dxa"/>
            <w:vAlign w:val="center"/>
            <w:hideMark/>
          </w:tcPr>
          <w:p w14:paraId="0DA30DB4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0.103</w:t>
            </w:r>
          </w:p>
        </w:tc>
      </w:tr>
      <w:tr w:rsidR="00B50B72" w:rsidRPr="0078315E" w14:paraId="7C55623A" w14:textId="77777777" w:rsidTr="00E5368B">
        <w:trPr>
          <w:trHeight w:val="379"/>
          <w:tblCellSpacing w:w="15" w:type="dxa"/>
        </w:trPr>
        <w:tc>
          <w:tcPr>
            <w:tcW w:w="2178" w:type="dxa"/>
            <w:vAlign w:val="center"/>
            <w:hideMark/>
          </w:tcPr>
          <w:p w14:paraId="27E582FB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  <w:b/>
                <w:bCs/>
              </w:rPr>
              <w:t>Platform: Twitter</w:t>
            </w:r>
          </w:p>
        </w:tc>
        <w:tc>
          <w:tcPr>
            <w:tcW w:w="0" w:type="auto"/>
            <w:vAlign w:val="center"/>
            <w:hideMark/>
          </w:tcPr>
          <w:p w14:paraId="2ADEA975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–0.4382</w:t>
            </w:r>
          </w:p>
        </w:tc>
        <w:tc>
          <w:tcPr>
            <w:tcW w:w="0" w:type="auto"/>
            <w:vAlign w:val="center"/>
            <w:hideMark/>
          </w:tcPr>
          <w:p w14:paraId="3B17B1EA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0.196</w:t>
            </w:r>
          </w:p>
        </w:tc>
        <w:tc>
          <w:tcPr>
            <w:tcW w:w="1016" w:type="dxa"/>
            <w:vAlign w:val="center"/>
            <w:hideMark/>
          </w:tcPr>
          <w:p w14:paraId="171131A1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–2.23</w:t>
            </w:r>
          </w:p>
        </w:tc>
        <w:tc>
          <w:tcPr>
            <w:tcW w:w="968" w:type="dxa"/>
            <w:vAlign w:val="center"/>
            <w:hideMark/>
          </w:tcPr>
          <w:p w14:paraId="09A9BC3E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0.025</w:t>
            </w:r>
          </w:p>
        </w:tc>
        <w:tc>
          <w:tcPr>
            <w:tcW w:w="1397" w:type="dxa"/>
            <w:vAlign w:val="center"/>
            <w:hideMark/>
          </w:tcPr>
          <w:p w14:paraId="4FA74654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–0.823</w:t>
            </w:r>
          </w:p>
        </w:tc>
        <w:tc>
          <w:tcPr>
            <w:tcW w:w="1329" w:type="dxa"/>
            <w:vAlign w:val="center"/>
            <w:hideMark/>
          </w:tcPr>
          <w:p w14:paraId="5F41DA02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–0.054</w:t>
            </w:r>
          </w:p>
        </w:tc>
      </w:tr>
      <w:tr w:rsidR="00B50B72" w:rsidRPr="0078315E" w14:paraId="0CC675F8" w14:textId="77777777" w:rsidTr="00E5368B">
        <w:trPr>
          <w:trHeight w:val="379"/>
          <w:tblCellSpacing w:w="15" w:type="dxa"/>
        </w:trPr>
        <w:tc>
          <w:tcPr>
            <w:tcW w:w="2178" w:type="dxa"/>
            <w:vAlign w:val="center"/>
            <w:hideMark/>
          </w:tcPr>
          <w:p w14:paraId="72A653A9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  <w:b/>
                <w:bCs/>
              </w:rPr>
              <w:t>Month 2</w:t>
            </w:r>
          </w:p>
        </w:tc>
        <w:tc>
          <w:tcPr>
            <w:tcW w:w="0" w:type="auto"/>
            <w:vAlign w:val="center"/>
            <w:hideMark/>
          </w:tcPr>
          <w:p w14:paraId="71E47FB0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–0.1457</w:t>
            </w:r>
          </w:p>
        </w:tc>
        <w:tc>
          <w:tcPr>
            <w:tcW w:w="0" w:type="auto"/>
            <w:vAlign w:val="center"/>
            <w:hideMark/>
          </w:tcPr>
          <w:p w14:paraId="66038888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0.085</w:t>
            </w:r>
          </w:p>
        </w:tc>
        <w:tc>
          <w:tcPr>
            <w:tcW w:w="1016" w:type="dxa"/>
            <w:vAlign w:val="center"/>
            <w:hideMark/>
          </w:tcPr>
          <w:p w14:paraId="3099C484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–1.71</w:t>
            </w:r>
          </w:p>
        </w:tc>
        <w:tc>
          <w:tcPr>
            <w:tcW w:w="968" w:type="dxa"/>
            <w:vAlign w:val="center"/>
            <w:hideMark/>
          </w:tcPr>
          <w:p w14:paraId="1614C024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0.088</w:t>
            </w:r>
          </w:p>
        </w:tc>
        <w:tc>
          <w:tcPr>
            <w:tcW w:w="1397" w:type="dxa"/>
            <w:vAlign w:val="center"/>
            <w:hideMark/>
          </w:tcPr>
          <w:p w14:paraId="351BE3CB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–0.313</w:t>
            </w:r>
          </w:p>
        </w:tc>
        <w:tc>
          <w:tcPr>
            <w:tcW w:w="1329" w:type="dxa"/>
            <w:vAlign w:val="center"/>
            <w:hideMark/>
          </w:tcPr>
          <w:p w14:paraId="09FEBDDD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0.021</w:t>
            </w:r>
          </w:p>
        </w:tc>
      </w:tr>
      <w:tr w:rsidR="00B50B72" w:rsidRPr="0078315E" w14:paraId="22040E01" w14:textId="77777777" w:rsidTr="00E5368B">
        <w:trPr>
          <w:trHeight w:val="138"/>
          <w:tblCellSpacing w:w="15" w:type="dxa"/>
        </w:trPr>
        <w:tc>
          <w:tcPr>
            <w:tcW w:w="2178" w:type="dxa"/>
            <w:vAlign w:val="center"/>
            <w:hideMark/>
          </w:tcPr>
          <w:p w14:paraId="34A864CA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  <w:b/>
                <w:bCs/>
              </w:rPr>
              <w:t>Month 11</w:t>
            </w:r>
          </w:p>
        </w:tc>
        <w:tc>
          <w:tcPr>
            <w:tcW w:w="0" w:type="auto"/>
            <w:vAlign w:val="center"/>
            <w:hideMark/>
          </w:tcPr>
          <w:p w14:paraId="3B2F6DFA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–0.6111</w:t>
            </w:r>
          </w:p>
        </w:tc>
        <w:tc>
          <w:tcPr>
            <w:tcW w:w="0" w:type="auto"/>
            <w:vAlign w:val="center"/>
            <w:hideMark/>
          </w:tcPr>
          <w:p w14:paraId="259AEC6F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0.282</w:t>
            </w:r>
          </w:p>
        </w:tc>
        <w:tc>
          <w:tcPr>
            <w:tcW w:w="1016" w:type="dxa"/>
            <w:vAlign w:val="center"/>
            <w:hideMark/>
          </w:tcPr>
          <w:p w14:paraId="436D2548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–2.17</w:t>
            </w:r>
          </w:p>
        </w:tc>
        <w:tc>
          <w:tcPr>
            <w:tcW w:w="968" w:type="dxa"/>
            <w:vAlign w:val="center"/>
            <w:hideMark/>
          </w:tcPr>
          <w:p w14:paraId="4D3C1585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0.030</w:t>
            </w:r>
          </w:p>
        </w:tc>
        <w:tc>
          <w:tcPr>
            <w:tcW w:w="1397" w:type="dxa"/>
            <w:vAlign w:val="center"/>
            <w:hideMark/>
          </w:tcPr>
          <w:p w14:paraId="15126B68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–1.163</w:t>
            </w:r>
          </w:p>
        </w:tc>
        <w:tc>
          <w:tcPr>
            <w:tcW w:w="1329" w:type="dxa"/>
            <w:vAlign w:val="center"/>
            <w:hideMark/>
          </w:tcPr>
          <w:p w14:paraId="7EAF3152" w14:textId="77777777" w:rsidR="00B50B72" w:rsidRPr="0078315E" w:rsidRDefault="00B50B72" w:rsidP="00E5368B">
            <w:pPr>
              <w:rPr>
                <w:rFonts w:ascii="Times New Roman" w:hAnsi="Times New Roman" w:cs="Times New Roman"/>
              </w:rPr>
            </w:pPr>
            <w:r w:rsidRPr="0078315E">
              <w:rPr>
                <w:rFonts w:ascii="Times New Roman" w:hAnsi="Times New Roman" w:cs="Times New Roman"/>
              </w:rPr>
              <w:t>–0.059</w:t>
            </w:r>
          </w:p>
        </w:tc>
      </w:tr>
    </w:tbl>
    <w:p w14:paraId="1099EF8B" w14:textId="77777777" w:rsidR="00B50B72" w:rsidRPr="006C1426" w:rsidRDefault="00B50B72" w:rsidP="00B50B72">
      <w:pPr>
        <w:rPr>
          <w:rFonts w:ascii="Times New Roman" w:hAnsi="Times New Roman" w:cs="Times New Roman"/>
          <w:i/>
          <w:iCs/>
        </w:rPr>
      </w:pPr>
      <w:r w:rsidRPr="0078315E">
        <w:rPr>
          <w:rFonts w:ascii="Times New Roman" w:hAnsi="Times New Roman" w:cs="Times New Roman"/>
          <w:i/>
          <w:iCs/>
        </w:rPr>
        <w:t xml:space="preserve">(Other months </w:t>
      </w:r>
      <w:proofErr w:type="gramStart"/>
      <w:r w:rsidRPr="0078315E">
        <w:rPr>
          <w:rFonts w:ascii="Times New Roman" w:hAnsi="Times New Roman" w:cs="Times New Roman"/>
          <w:i/>
          <w:iCs/>
        </w:rPr>
        <w:t>omitted)</w:t>
      </w:r>
      <w:r>
        <w:rPr>
          <w:rFonts w:ascii="Times New Roman" w:hAnsi="Times New Roman" w:cs="Times New Roman"/>
          <w:i/>
          <w:iCs/>
        </w:rPr>
        <w:t xml:space="preserve">   </w:t>
      </w:r>
      <w:proofErr w:type="gramEnd"/>
      <w:r w:rsidRPr="00643451">
        <w:rPr>
          <w:rFonts w:ascii="Times New Roman" w:hAnsi="Times New Roman" w:cs="Times New Roman"/>
        </w:rPr>
        <w:t>Note: Standard errors are clustered at the platform level.</w:t>
      </w:r>
      <w:r w:rsidRPr="00142D67">
        <w:rPr>
          <w:rFonts w:ascii="Times New Roman" w:hAnsi="Times New Roman" w:cs="Times New Roman"/>
        </w:rPr>
        <w:t xml:space="preserve"> </w:t>
      </w:r>
      <w:r w:rsidRPr="00643451">
        <w:rPr>
          <w:rFonts w:ascii="Times New Roman" w:hAnsi="Times New Roman" w:cs="Times New Roman"/>
        </w:rPr>
        <w:t>R² = 0.165. N = 1780 observations.</w:t>
      </w:r>
    </w:p>
    <w:p w14:paraId="7C875D4B" w14:textId="77777777" w:rsidR="00B50B72" w:rsidRDefault="00B50B72" w:rsidP="00B50B72">
      <w:pPr>
        <w:rPr>
          <w:rFonts w:ascii="Times New Roman" w:hAnsi="Times New Roman" w:cs="Times New Roman"/>
        </w:rPr>
      </w:pPr>
      <w:r w:rsidRPr="00730C3C">
        <w:rPr>
          <w:rFonts w:ascii="Times New Roman" w:eastAsia="Times New Roman" w:hAnsi="Times New Roman" w:cs="Times New Roman"/>
          <w:kern w:val="0"/>
          <w14:ligatures w14:val="none"/>
        </w:rPr>
        <w:t>Event</w:t>
      </w:r>
      <w:r w:rsidRPr="00730C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730C3C">
        <w:rPr>
          <w:rFonts w:ascii="Times New Roman" w:eastAsia="Times New Roman" w:hAnsi="Times New Roman" w:cs="Times New Roman"/>
          <w:kern w:val="0"/>
          <w14:ligatures w14:val="none"/>
        </w:rPr>
        <w:t>Study</w:t>
      </w:r>
      <w:r w:rsidRPr="00E16654"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7012F01E" w14:textId="6C770089" w:rsidR="00B50B72" w:rsidRPr="006C1426" w:rsidRDefault="00B50B72" w:rsidP="00B50B72">
      <w:pPr>
        <w:rPr>
          <w:rFonts w:ascii="Times New Roman" w:hAnsi="Times New Roman" w:cs="Times New Roman"/>
        </w:rPr>
      </w:pPr>
      <w:r w:rsidRPr="006C1426">
        <w:rPr>
          <w:rFonts w:ascii="Times New Roman" w:eastAsia="Times New Roman" w:hAnsi="Times New Roman" w:cs="Times New Roman"/>
          <w:kern w:val="0"/>
          <w14:ligatures w14:val="none"/>
        </w:rPr>
        <w:t xml:space="preserve">The event study plot (Figure 1) reveals: 1) Parallel trends before April 2022. 2) </w:t>
      </w:r>
      <w:r w:rsidRPr="006C1426">
        <w:rPr>
          <w:rFonts w:ascii="Times New Roman" w:hAnsi="Times New Roman" w:cs="Times New Roman"/>
        </w:rPr>
        <w:t xml:space="preserve">a </w:t>
      </w:r>
      <w:r w:rsidRPr="00C57F68">
        <w:rPr>
          <w:rStyle w:val="Strong"/>
          <w:rFonts w:ascii="Times New Roman" w:hAnsi="Times New Roman" w:cs="Times New Roman"/>
          <w:b w:val="0"/>
          <w:bCs w:val="0"/>
        </w:rPr>
        <w:t>short-lived positive spike</w:t>
      </w:r>
      <w:r w:rsidRPr="00C57F68">
        <w:rPr>
          <w:rFonts w:ascii="Times New Roman" w:hAnsi="Times New Roman" w:cs="Times New Roman"/>
          <w:b/>
          <w:bCs/>
        </w:rPr>
        <w:t xml:space="preserve"> </w:t>
      </w:r>
      <w:r w:rsidRPr="00C57F68">
        <w:rPr>
          <w:rFonts w:ascii="Times New Roman" w:hAnsi="Times New Roman" w:cs="Times New Roman"/>
        </w:rPr>
        <w:t xml:space="preserve">in search interest immediately following the announcement, peaking at nearly </w:t>
      </w:r>
      <w:r w:rsidRPr="00C57F68">
        <w:rPr>
          <w:rStyle w:val="Strong"/>
          <w:rFonts w:ascii="Times New Roman" w:hAnsi="Times New Roman" w:cs="Times New Roman"/>
        </w:rPr>
        <w:t>+</w:t>
      </w:r>
      <w:r w:rsidRPr="00C57F68">
        <w:rPr>
          <w:rStyle w:val="Strong"/>
          <w:rFonts w:ascii="Times New Roman" w:hAnsi="Times New Roman" w:cs="Times New Roman"/>
          <w:b w:val="0"/>
          <w:bCs w:val="0"/>
        </w:rPr>
        <w:t>2.5 standard deviations</w:t>
      </w:r>
      <w:r w:rsidRPr="00C57F68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</w:t>
      </w:r>
      <w:r w:rsidRPr="006C1426">
        <w:rPr>
          <w:rFonts w:ascii="Times New Roman" w:hAnsi="Times New Roman" w:cs="Times New Roman"/>
        </w:rPr>
        <w:t>However</w:t>
      </w:r>
      <w:r>
        <w:rPr>
          <w:rFonts w:ascii="Times New Roman" w:hAnsi="Times New Roman" w:cs="Times New Roman"/>
        </w:rPr>
        <w:t>, the effect is not statistically significant due to wide confidence intervals</w:t>
      </w:r>
      <w:r w:rsidRPr="006C1426">
        <w:rPr>
          <w:rFonts w:ascii="Times New Roman" w:hAnsi="Times New Roman" w:cs="Times New Roman"/>
          <w:b/>
          <w:bCs/>
        </w:rPr>
        <w:t>.</w:t>
      </w:r>
      <w:r w:rsidRPr="006C1426">
        <w:rPr>
          <w:rFonts w:ascii="Times New Roman" w:hAnsi="Times New Roman" w:cs="Times New Roman"/>
        </w:rPr>
        <w:br/>
      </w:r>
      <w:r w:rsidRPr="006C1426">
        <w:rPr>
          <w:rFonts w:ascii="Times New Roman" w:hAnsi="Times New Roman" w:cs="Times New Roman"/>
        </w:rPr>
        <w:lastRenderedPageBreak/>
        <w:t xml:space="preserve">The impact </w:t>
      </w:r>
      <w:r w:rsidRPr="00C57F68">
        <w:rPr>
          <w:rStyle w:val="Strong"/>
          <w:rFonts w:ascii="Times New Roman" w:hAnsi="Times New Roman" w:cs="Times New Roman"/>
          <w:b w:val="0"/>
          <w:bCs w:val="0"/>
        </w:rPr>
        <w:t>dissipates within 3–5 weeks</w:t>
      </w:r>
      <w:r w:rsidRPr="006C1426">
        <w:rPr>
          <w:rFonts w:ascii="Times New Roman" w:hAnsi="Times New Roman" w:cs="Times New Roman"/>
          <w:b/>
          <w:bCs/>
        </w:rPr>
        <w:t xml:space="preserve">, </w:t>
      </w:r>
      <w:r w:rsidRPr="006C1426">
        <w:rPr>
          <w:rFonts w:ascii="Times New Roman" w:hAnsi="Times New Roman" w:cs="Times New Roman"/>
        </w:rPr>
        <w:t>suggesting a</w:t>
      </w:r>
      <w:r w:rsidRPr="006C1426">
        <w:rPr>
          <w:rFonts w:ascii="Times New Roman" w:hAnsi="Times New Roman" w:cs="Times New Roman"/>
          <w:b/>
          <w:bCs/>
        </w:rPr>
        <w:t xml:space="preserve"> </w:t>
      </w:r>
      <w:r w:rsidRPr="00C57F68">
        <w:rPr>
          <w:rStyle w:val="Strong"/>
          <w:rFonts w:ascii="Times New Roman" w:hAnsi="Times New Roman" w:cs="Times New Roman"/>
          <w:b w:val="0"/>
          <w:bCs w:val="0"/>
        </w:rPr>
        <w:t>temporary surge in attention</w:t>
      </w:r>
      <w:r w:rsidRPr="006C1426">
        <w:rPr>
          <w:rFonts w:ascii="Times New Roman" w:hAnsi="Times New Roman" w:cs="Times New Roman"/>
        </w:rPr>
        <w:t xml:space="preserve"> likely driven by news coverage and social media buzz, rather than sustained engagement</w:t>
      </w:r>
      <w:r w:rsidR="005D4526">
        <w:rPr>
          <w:rFonts w:ascii="Times New Roman" w:hAnsi="Times New Roman" w:cs="Times New Roman"/>
        </w:rPr>
        <w:t>.</w:t>
      </w:r>
    </w:p>
    <w:p w14:paraId="2192A211" w14:textId="77777777" w:rsidR="00B50B72" w:rsidRPr="00142D67" w:rsidRDefault="00B50B72" w:rsidP="00B50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142D67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3BAB885" wp14:editId="7D4584CE">
            <wp:extent cx="4229100" cy="2537647"/>
            <wp:effectExtent l="0" t="0" r="0" b="0"/>
            <wp:docPr id="1132553076" name="Picture 2" descr="A graph with blue lines and red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53076" name="Picture 2" descr="A graph with blue lines and red lin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00" cy="253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20B3" w14:textId="77777777" w:rsidR="00B50B72" w:rsidRPr="00730C3C" w:rsidRDefault="00B50B72" w:rsidP="00B50B72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30C3C">
        <w:rPr>
          <w:rFonts w:ascii="Times New Roman" w:eastAsia="Times New Roman" w:hAnsi="Times New Roman" w:cs="Times New Roman"/>
          <w:kern w:val="0"/>
          <w14:ligatures w14:val="none"/>
        </w:rPr>
        <w:t>Barplot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D3212F" w14:textId="77777777" w:rsidR="00B50B72" w:rsidRPr="00730C3C" w:rsidRDefault="00B50B72" w:rsidP="00B50B72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C3C">
        <w:rPr>
          <w:rFonts w:ascii="Times New Roman" w:eastAsia="Times New Roman" w:hAnsi="Times New Roman" w:cs="Times New Roman"/>
          <w:kern w:val="0"/>
          <w14:ligatures w14:val="none"/>
        </w:rPr>
        <w:t>The bar chart (Figure 2) displays average search interest before and after April 14, 2022:</w:t>
      </w:r>
    </w:p>
    <w:p w14:paraId="51ACDDB7" w14:textId="77777777" w:rsidR="00B50B72" w:rsidRPr="00730C3C" w:rsidRDefault="00B50B72" w:rsidP="00B50B72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C3C">
        <w:rPr>
          <w:rFonts w:ascii="Times New Roman" w:eastAsia="Times New Roman" w:hAnsi="Times New Roman" w:cs="Times New Roman"/>
          <w:kern w:val="0"/>
          <w14:ligatures w14:val="none"/>
        </w:rPr>
        <w:t>TikTok and Instagram show continued growth,</w:t>
      </w:r>
      <w:r w:rsidRPr="00142D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0C3C">
        <w:rPr>
          <w:rFonts w:ascii="Times New Roman" w:eastAsia="Times New Roman" w:hAnsi="Times New Roman" w:cs="Times New Roman"/>
          <w:kern w:val="0"/>
          <w14:ligatures w14:val="none"/>
        </w:rPr>
        <w:t>LinkedIn and Facebook remain stable,</w:t>
      </w:r>
    </w:p>
    <w:p w14:paraId="6FC2A6EB" w14:textId="77777777" w:rsidR="00B50B72" w:rsidRPr="00E20842" w:rsidRDefault="00B50B72" w:rsidP="00B50B72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0C3C">
        <w:rPr>
          <w:rFonts w:ascii="Times New Roman" w:eastAsia="Times New Roman" w:hAnsi="Times New Roman" w:cs="Times New Roman"/>
          <w:kern w:val="0"/>
          <w14:ligatures w14:val="none"/>
        </w:rPr>
        <w:t>Twitter shows a small average increase, consistent with short-lived attention gains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8A85BA" w14:textId="77777777" w:rsidR="00B50B72" w:rsidRPr="00730C3C" w:rsidRDefault="00B50B72" w:rsidP="00B50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142D67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F04BF68" wp14:editId="3EDD99B5">
            <wp:extent cx="4260850" cy="2375814"/>
            <wp:effectExtent l="0" t="0" r="6350" b="5715"/>
            <wp:docPr id="519731466" name="Picture 4" descr="A graph of blue and yellow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31466" name="Picture 4" descr="A graph of blue and yellow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71" cy="239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8E9E3" w14:textId="77777777" w:rsidR="00B50B72" w:rsidRPr="00E16654" w:rsidRDefault="00B50B72" w:rsidP="00B50B72">
      <w:pPr>
        <w:rPr>
          <w:rFonts w:ascii="Times New Roman" w:hAnsi="Times New Roman" w:cs="Times New Roman"/>
        </w:rPr>
      </w:pPr>
      <w:r w:rsidRPr="00E16654">
        <w:rPr>
          <w:rFonts w:ascii="Times New Roman" w:hAnsi="Times New Roman" w:cs="Times New Roman"/>
          <w:b/>
          <w:bCs/>
        </w:rPr>
        <w:t>5. Discussion</w:t>
      </w:r>
    </w:p>
    <w:p w14:paraId="0C71A7F3" w14:textId="77777777" w:rsidR="00B50B72" w:rsidRPr="00656BD9" w:rsidRDefault="00B50B72" w:rsidP="00B50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BD9">
        <w:rPr>
          <w:rFonts w:ascii="Times New Roman" w:eastAsia="Times New Roman" w:hAnsi="Times New Roman" w:cs="Times New Roman"/>
          <w:kern w:val="0"/>
          <w14:ligatures w14:val="none"/>
        </w:rPr>
        <w:t>We applied several improvements to enhance the validity of the Difference-in-Differences (</w:t>
      </w:r>
      <w:proofErr w:type="spellStart"/>
      <w:r w:rsidRPr="00656BD9">
        <w:rPr>
          <w:rFonts w:ascii="Times New Roman" w:eastAsia="Times New Roman" w:hAnsi="Times New Roman" w:cs="Times New Roman"/>
          <w:kern w:val="0"/>
          <w14:ligatures w14:val="none"/>
        </w:rPr>
        <w:t>DiD</w:t>
      </w:r>
      <w:proofErr w:type="spellEnd"/>
      <w:r w:rsidRPr="00656BD9">
        <w:rPr>
          <w:rFonts w:ascii="Times New Roman" w:eastAsia="Times New Roman" w:hAnsi="Times New Roman" w:cs="Times New Roman"/>
          <w:kern w:val="0"/>
          <w14:ligatures w14:val="none"/>
        </w:rPr>
        <w:t>) estimation. These include:</w:t>
      </w:r>
    </w:p>
    <w:p w14:paraId="7F44B9C4" w14:textId="77777777" w:rsidR="00B50B72" w:rsidRPr="00656BD9" w:rsidRDefault="00B50B72" w:rsidP="00B50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BD9">
        <w:rPr>
          <w:rFonts w:ascii="Times New Roman" w:eastAsia="Times New Roman" w:hAnsi="Times New Roman" w:cs="Times New Roman"/>
          <w:kern w:val="0"/>
          <w14:ligatures w14:val="none"/>
        </w:rPr>
        <w:t>Event Study Specification: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BD9">
        <w:rPr>
          <w:rFonts w:ascii="Times New Roman" w:eastAsia="Times New Roman" w:hAnsi="Times New Roman" w:cs="Times New Roman"/>
          <w:kern w:val="0"/>
          <w14:ligatures w14:val="none"/>
        </w:rPr>
        <w:t>Instead of relying solely on a binary Post × Treatment variable, a week-by-week interaction model (±12 weeks)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was </w:t>
      </w:r>
      <w:r w:rsidRPr="00656BD9">
        <w:rPr>
          <w:rFonts w:ascii="Times New Roman" w:eastAsia="Times New Roman" w:hAnsi="Times New Roman" w:cs="Times New Roman"/>
          <w:kern w:val="0"/>
          <w14:ligatures w14:val="none"/>
        </w:rPr>
        <w:t xml:space="preserve">implemented. This allowed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us </w:t>
      </w:r>
      <w:r w:rsidRPr="00656BD9">
        <w:rPr>
          <w:rFonts w:ascii="Times New Roman" w:eastAsia="Times New Roman" w:hAnsi="Times New Roman" w:cs="Times New Roman"/>
          <w:kern w:val="0"/>
          <w14:ligatures w14:val="none"/>
        </w:rPr>
        <w:t>to assess the dynamics of the treatment effect and test the parallel trends assumption.</w:t>
      </w:r>
    </w:p>
    <w:p w14:paraId="0A977FA7" w14:textId="77777777" w:rsidR="00B50B72" w:rsidRPr="00656BD9" w:rsidRDefault="00B50B72" w:rsidP="00B50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BD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Time Trend Adjustment: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BD9">
        <w:rPr>
          <w:rFonts w:ascii="Times New Roman" w:eastAsia="Times New Roman" w:hAnsi="Times New Roman" w:cs="Times New Roman"/>
          <w:kern w:val="0"/>
          <w14:ligatures w14:val="none"/>
        </w:rPr>
        <w:t xml:space="preserve">A continuous time trend variable and its interaction with the treatment group were included. This captures differences in baseline growth rates between Twitter and control platforms </w:t>
      </w:r>
      <w:r>
        <w:rPr>
          <w:rFonts w:ascii="Times New Roman" w:eastAsia="Times New Roman" w:hAnsi="Times New Roman" w:cs="Times New Roman"/>
          <w:kern w:val="0"/>
          <w14:ligatures w14:val="none"/>
        </w:rPr>
        <w:t>before</w:t>
      </w:r>
      <w:r w:rsidRPr="00656BD9">
        <w:rPr>
          <w:rFonts w:ascii="Times New Roman" w:eastAsia="Times New Roman" w:hAnsi="Times New Roman" w:cs="Times New Roman"/>
          <w:kern w:val="0"/>
          <w14:ligatures w14:val="none"/>
        </w:rPr>
        <w:t xml:space="preserve"> the treatment.</w:t>
      </w:r>
    </w:p>
    <w:p w14:paraId="7108EF6C" w14:textId="77777777" w:rsidR="00B50B72" w:rsidRPr="00656BD9" w:rsidRDefault="00B50B72" w:rsidP="00B50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BD9">
        <w:rPr>
          <w:rFonts w:ascii="Times New Roman" w:eastAsia="Times New Roman" w:hAnsi="Times New Roman" w:cs="Times New Roman"/>
          <w:kern w:val="0"/>
          <w14:ligatures w14:val="none"/>
        </w:rPr>
        <w:t>Fixed Effects: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</w:t>
      </w:r>
      <w:r w:rsidRPr="00656BD9">
        <w:rPr>
          <w:rFonts w:ascii="Times New Roman" w:eastAsia="Times New Roman" w:hAnsi="Times New Roman" w:cs="Times New Roman"/>
          <w:kern w:val="0"/>
          <w14:ligatures w14:val="none"/>
        </w:rPr>
        <w:t>dded month and platform fixed effects to control seasonal variation and platform-specific characteristics.</w:t>
      </w:r>
    </w:p>
    <w:p w14:paraId="7ED6068E" w14:textId="77777777" w:rsidR="00B50B72" w:rsidRPr="00E16654" w:rsidRDefault="00B50B72" w:rsidP="00B50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BD9">
        <w:rPr>
          <w:rFonts w:ascii="Times New Roman" w:eastAsia="Times New Roman" w:hAnsi="Times New Roman" w:cs="Times New Roman"/>
          <w:kern w:val="0"/>
          <w14:ligatures w14:val="none"/>
        </w:rPr>
        <w:t xml:space="preserve">Standardization: </w:t>
      </w:r>
      <w:r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Pr="00656BD9">
        <w:rPr>
          <w:rFonts w:ascii="Times New Roman" w:eastAsia="Times New Roman" w:hAnsi="Times New Roman" w:cs="Times New Roman"/>
          <w:kern w:val="0"/>
          <w14:ligatures w14:val="none"/>
        </w:rPr>
        <w:t>ormalized search volume within each platform (z-scores), allowing comparability across platforms despite the relative nature of Google Trends data.</w:t>
      </w:r>
    </w:p>
    <w:p w14:paraId="73C66D65" w14:textId="77777777" w:rsidR="00B50B72" w:rsidRPr="00E16654" w:rsidRDefault="00B50B72" w:rsidP="00B50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6654">
        <w:rPr>
          <w:rFonts w:ascii="Times New Roman" w:eastAsia="Times New Roman" w:hAnsi="Times New Roman" w:cs="Times New Roman"/>
          <w:kern w:val="0"/>
          <w14:ligatures w14:val="none"/>
        </w:rPr>
        <w:t xml:space="preserve">Across all three methods, mixed but generally non-significant results were observed. The simple before/after </w:t>
      </w:r>
      <w:proofErr w:type="spellStart"/>
      <w:r w:rsidRPr="00E16654">
        <w:rPr>
          <w:rFonts w:ascii="Times New Roman" w:eastAsia="Times New Roman" w:hAnsi="Times New Roman" w:cs="Times New Roman"/>
          <w:kern w:val="0"/>
          <w14:ligatures w14:val="none"/>
        </w:rPr>
        <w:t>barplot</w:t>
      </w:r>
      <w:proofErr w:type="spellEnd"/>
      <w:r w:rsidRPr="00E16654">
        <w:rPr>
          <w:rFonts w:ascii="Times New Roman" w:eastAsia="Times New Roman" w:hAnsi="Times New Roman" w:cs="Times New Roman"/>
          <w:kern w:val="0"/>
          <w14:ligatures w14:val="none"/>
        </w:rPr>
        <w:t xml:space="preserve"> suggests a rise in interest, while the </w:t>
      </w:r>
      <w:proofErr w:type="spellStart"/>
      <w:r w:rsidRPr="00E16654">
        <w:rPr>
          <w:rFonts w:ascii="Times New Roman" w:eastAsia="Times New Roman" w:hAnsi="Times New Roman" w:cs="Times New Roman"/>
          <w:kern w:val="0"/>
          <w14:ligatures w14:val="none"/>
        </w:rPr>
        <w:t>DiD</w:t>
      </w:r>
      <w:proofErr w:type="spellEnd"/>
      <w:r w:rsidRPr="00E16654">
        <w:rPr>
          <w:rFonts w:ascii="Times New Roman" w:eastAsia="Times New Roman" w:hAnsi="Times New Roman" w:cs="Times New Roman"/>
          <w:kern w:val="0"/>
          <w14:ligatures w14:val="none"/>
        </w:rPr>
        <w:t xml:space="preserve"> regression estimates a small negative effect. The event study shows an initial spike followed by a decline, reinforcing the view that any effect was short-lived. These differences highlight the sensitivity of results to modeling choices and suggest the need for further robustness checks</w:t>
      </w:r>
    </w:p>
    <w:p w14:paraId="1E5FA69E" w14:textId="77777777" w:rsidR="00B50B72" w:rsidRPr="005623D2" w:rsidRDefault="00B50B72" w:rsidP="00B50B72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5623D2">
        <w:rPr>
          <w:rFonts w:ascii="Times New Roman" w:hAnsi="Times New Roman" w:cs="Times New Roman"/>
          <w:b/>
          <w:bCs/>
          <w:sz w:val="24"/>
          <w:szCs w:val="24"/>
        </w:rPr>
        <w:t>7. Limitations</w:t>
      </w:r>
    </w:p>
    <w:p w14:paraId="5687B6AA" w14:textId="77777777" w:rsidR="00B50B72" w:rsidRPr="00656BD9" w:rsidRDefault="00B50B72" w:rsidP="00B50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BD9">
        <w:rPr>
          <w:rFonts w:ascii="Times New Roman" w:eastAsia="Times New Roman" w:hAnsi="Times New Roman" w:cs="Times New Roman"/>
          <w:kern w:val="0"/>
          <w14:ligatures w14:val="none"/>
        </w:rPr>
        <w:t>Model Sensitivity and Conflicting Signs: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BD9">
        <w:rPr>
          <w:rFonts w:ascii="Times New Roman" w:eastAsia="Times New Roman" w:hAnsi="Times New Roman" w:cs="Times New Roman"/>
          <w:kern w:val="0"/>
          <w14:ligatures w14:val="none"/>
        </w:rPr>
        <w:t xml:space="preserve">The standard </w:t>
      </w:r>
      <w:proofErr w:type="spellStart"/>
      <w:r w:rsidRPr="00656BD9">
        <w:rPr>
          <w:rFonts w:ascii="Times New Roman" w:eastAsia="Times New Roman" w:hAnsi="Times New Roman" w:cs="Times New Roman"/>
          <w:kern w:val="0"/>
          <w14:ligatures w14:val="none"/>
        </w:rPr>
        <w:t>DiD</w:t>
      </w:r>
      <w:proofErr w:type="spellEnd"/>
      <w:r w:rsidRPr="00656BD9">
        <w:rPr>
          <w:rFonts w:ascii="Times New Roman" w:eastAsia="Times New Roman" w:hAnsi="Times New Roman" w:cs="Times New Roman"/>
          <w:kern w:val="0"/>
          <w14:ligatures w14:val="none"/>
        </w:rPr>
        <w:t xml:space="preserve"> interaction (Post × Treatment) assumes a constant effect post-event. However, our event study indicates dynamic and possibly non-linear responses, suggesting that a single coefficient may oversimplify treatment effects.</w:t>
      </w:r>
    </w:p>
    <w:p w14:paraId="2F778B99" w14:textId="77777777" w:rsidR="00B50B72" w:rsidRPr="00656BD9" w:rsidRDefault="00B50B72" w:rsidP="00B50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BD9">
        <w:rPr>
          <w:rFonts w:ascii="Times New Roman" w:eastAsia="Times New Roman" w:hAnsi="Times New Roman" w:cs="Times New Roman"/>
          <w:kern w:val="0"/>
          <w14:ligatures w14:val="none"/>
        </w:rPr>
        <w:t>No Placebo Tests: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</w:t>
      </w:r>
      <w:r w:rsidRPr="00656BD9">
        <w:rPr>
          <w:rFonts w:ascii="Times New Roman" w:eastAsia="Times New Roman" w:hAnsi="Times New Roman" w:cs="Times New Roman"/>
          <w:kern w:val="0"/>
          <w14:ligatures w14:val="none"/>
        </w:rPr>
        <w:t>alsification tests using placebo treatment dates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were not run</w:t>
      </w:r>
      <w:r w:rsidRPr="00656BD9">
        <w:rPr>
          <w:rFonts w:ascii="Times New Roman" w:eastAsia="Times New Roman" w:hAnsi="Times New Roman" w:cs="Times New Roman"/>
          <w:kern w:val="0"/>
          <w14:ligatures w14:val="none"/>
        </w:rPr>
        <w:t xml:space="preserve">. A placebo </w:t>
      </w:r>
      <w:proofErr w:type="spellStart"/>
      <w:r w:rsidRPr="00656BD9">
        <w:rPr>
          <w:rFonts w:ascii="Times New Roman" w:eastAsia="Times New Roman" w:hAnsi="Times New Roman" w:cs="Times New Roman"/>
          <w:kern w:val="0"/>
          <w14:ligatures w14:val="none"/>
        </w:rPr>
        <w:t>DiD</w:t>
      </w:r>
      <w:proofErr w:type="spellEnd"/>
      <w:r w:rsidRPr="00656BD9">
        <w:rPr>
          <w:rFonts w:ascii="Times New Roman" w:eastAsia="Times New Roman" w:hAnsi="Times New Roman" w:cs="Times New Roman"/>
          <w:kern w:val="0"/>
          <w14:ligatures w14:val="none"/>
        </w:rPr>
        <w:t xml:space="preserve"> test one year before the actual event (e.g., April 2021) could help validate causal interpretation.</w:t>
      </w:r>
    </w:p>
    <w:p w14:paraId="18333F61" w14:textId="77777777" w:rsidR="00B50B72" w:rsidRPr="00656BD9" w:rsidRDefault="00B50B72" w:rsidP="00B50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BD9">
        <w:rPr>
          <w:rFonts w:ascii="Times New Roman" w:eastAsia="Times New Roman" w:hAnsi="Times New Roman" w:cs="Times New Roman"/>
          <w:kern w:val="0"/>
          <w14:ligatures w14:val="none"/>
        </w:rPr>
        <w:t>No Additional Control Variables: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BD9">
        <w:rPr>
          <w:rFonts w:ascii="Times New Roman" w:eastAsia="Times New Roman" w:hAnsi="Times New Roman" w:cs="Times New Roman"/>
          <w:kern w:val="0"/>
          <w14:ligatures w14:val="none"/>
        </w:rPr>
        <w:t>The model does not account for exogenous shocks (e.g., platform-specific scandals, outages, or concurrent events) that may bias estimates.</w:t>
      </w:r>
    </w:p>
    <w:p w14:paraId="01133B11" w14:textId="77777777" w:rsidR="00B50B72" w:rsidRPr="00656BD9" w:rsidRDefault="00B50B72" w:rsidP="00B50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No Alternative Specifications: Sensitivity to different treatment dates was not tested, nor were the definitions of the outcome variable or sub-sample splits (e.g., excluding TikTok, which shows strong growth).</w:t>
      </w:r>
    </w:p>
    <w:p w14:paraId="59CDB1F2" w14:textId="77777777" w:rsidR="00B50B72" w:rsidRPr="00656BD9" w:rsidRDefault="00B50B72" w:rsidP="00B50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BD9">
        <w:rPr>
          <w:rFonts w:ascii="Times New Roman" w:eastAsia="Times New Roman" w:hAnsi="Times New Roman" w:cs="Times New Roman"/>
          <w:kern w:val="0"/>
          <w14:ligatures w14:val="none"/>
        </w:rPr>
        <w:t>Limitations of Google Trends: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BD9">
        <w:rPr>
          <w:rFonts w:ascii="Times New Roman" w:eastAsia="Times New Roman" w:hAnsi="Times New Roman" w:cs="Times New Roman"/>
          <w:kern w:val="0"/>
          <w14:ligatures w14:val="none"/>
        </w:rPr>
        <w:t>The data represent normalized relative interest (0–100) and do not reflect actual user counts. Sampling variability and weekly smoothing by Google may also introduce noise.</w:t>
      </w:r>
      <w:r w:rsidRPr="00142D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56BD9">
        <w:rPr>
          <w:rFonts w:ascii="Times New Roman" w:eastAsia="Times New Roman" w:hAnsi="Times New Roman" w:cs="Times New Roman"/>
          <w:kern w:val="0"/>
          <w14:ligatures w14:val="none"/>
        </w:rPr>
        <w:t>While a VPN was used to access consistent international data, small sampling differences may remain.</w:t>
      </w:r>
    </w:p>
    <w:p w14:paraId="433088A7" w14:textId="77777777" w:rsidR="00B50B72" w:rsidRPr="00E16654" w:rsidRDefault="00B50B72" w:rsidP="00B50B72">
      <w:pPr>
        <w:rPr>
          <w:rFonts w:ascii="Times New Roman" w:hAnsi="Times New Roman" w:cs="Times New Roman"/>
        </w:rPr>
      </w:pPr>
      <w:r w:rsidRPr="00E16654">
        <w:rPr>
          <w:rFonts w:ascii="Times New Roman" w:hAnsi="Times New Roman" w:cs="Times New Roman"/>
          <w:b/>
          <w:bCs/>
        </w:rPr>
        <w:t>References</w:t>
      </w:r>
    </w:p>
    <w:p w14:paraId="37F737A6" w14:textId="77777777" w:rsidR="00B50B72" w:rsidRPr="00E16654" w:rsidRDefault="00B50B72" w:rsidP="00B50B72">
      <w:pPr>
        <w:rPr>
          <w:rFonts w:ascii="Times New Roman" w:hAnsi="Times New Roman" w:cs="Times New Roman"/>
        </w:rPr>
      </w:pPr>
      <w:r w:rsidRPr="00E16654">
        <w:rPr>
          <w:rFonts w:ascii="Times New Roman" w:hAnsi="Times New Roman" w:cs="Times New Roman"/>
        </w:rPr>
        <w:t xml:space="preserve">Callaway, B., &amp; Sant'Anna, P. H. C. (2021). Difference-in-Differences with multiple </w:t>
      </w:r>
      <w:r>
        <w:rPr>
          <w:rFonts w:ascii="Times New Roman" w:hAnsi="Times New Roman" w:cs="Times New Roman"/>
        </w:rPr>
        <w:t>periods</w:t>
      </w:r>
      <w:r w:rsidRPr="00E16654">
        <w:rPr>
          <w:rFonts w:ascii="Times New Roman" w:hAnsi="Times New Roman" w:cs="Times New Roman"/>
        </w:rPr>
        <w:t>.</w:t>
      </w:r>
    </w:p>
    <w:p w14:paraId="664B1DEA" w14:textId="77777777" w:rsidR="00C57F68" w:rsidRDefault="00B50B72" w:rsidP="00C57F68">
      <w:pPr>
        <w:spacing w:after="120"/>
        <w:rPr>
          <w:rFonts w:ascii="Times New Roman" w:hAnsi="Times New Roman" w:cs="Times New Roman"/>
        </w:rPr>
      </w:pPr>
      <w:r w:rsidRPr="00E16654">
        <w:rPr>
          <w:rFonts w:ascii="Times New Roman" w:hAnsi="Times New Roman" w:cs="Times New Roman"/>
        </w:rPr>
        <w:t xml:space="preserve">Abadie, A. (2005). Semiparametric </w:t>
      </w:r>
      <w:proofErr w:type="spellStart"/>
      <w:r w:rsidRPr="00E16654">
        <w:rPr>
          <w:rFonts w:ascii="Times New Roman" w:hAnsi="Times New Roman" w:cs="Times New Roman"/>
        </w:rPr>
        <w:t>DiD</w:t>
      </w:r>
      <w:proofErr w:type="spellEnd"/>
      <w:r w:rsidRPr="00E16654">
        <w:rPr>
          <w:rFonts w:ascii="Times New Roman" w:hAnsi="Times New Roman" w:cs="Times New Roman"/>
        </w:rPr>
        <w:t xml:space="preserve"> estimation.</w:t>
      </w:r>
      <w:r w:rsidRPr="00142D67">
        <w:rPr>
          <w:rFonts w:ascii="Times New Roman" w:hAnsi="Times New Roman" w:cs="Times New Roman"/>
        </w:rPr>
        <w:t xml:space="preserve"> </w:t>
      </w:r>
      <w:r w:rsidRPr="00E16654">
        <w:rPr>
          <w:rFonts w:ascii="Times New Roman" w:hAnsi="Times New Roman" w:cs="Times New Roman"/>
        </w:rPr>
        <w:t>Google Trends Documentation: trends.google.com</w:t>
      </w:r>
      <w:r w:rsidRPr="00142D67">
        <w:rPr>
          <w:rFonts w:ascii="Times New Roman" w:hAnsi="Times New Roman" w:cs="Times New Roman"/>
        </w:rPr>
        <w:t xml:space="preserve">.  </w:t>
      </w:r>
      <w:r w:rsidRPr="00E16654">
        <w:rPr>
          <w:rFonts w:ascii="Times New Roman" w:hAnsi="Times New Roman" w:cs="Times New Roman"/>
        </w:rPr>
        <w:t>Reuters (2022). "Elon Musk offers to buy Twitter</w:t>
      </w:r>
      <w:r w:rsidR="005D4526">
        <w:rPr>
          <w:rFonts w:ascii="Times New Roman" w:hAnsi="Times New Roman" w:cs="Times New Roman"/>
        </w:rPr>
        <w:t>,</w:t>
      </w:r>
      <w:r w:rsidRPr="00E16654">
        <w:rPr>
          <w:rFonts w:ascii="Times New Roman" w:hAnsi="Times New Roman" w:cs="Times New Roman"/>
        </w:rPr>
        <w:t>"</w:t>
      </w:r>
      <w:r w:rsidRPr="002E36B4">
        <w:rPr>
          <w:rFonts w:ascii="Times New Roman" w:hAnsi="Times New Roman" w:cs="Times New Roman"/>
        </w:rPr>
        <w:t xml:space="preserve"> Jonathan Roth</w:t>
      </w:r>
      <w:r w:rsidR="005D4526">
        <w:rPr>
          <w:rFonts w:ascii="Times New Roman" w:hAnsi="Times New Roman" w:cs="Times New Roman"/>
        </w:rPr>
        <w:t>,</w:t>
      </w:r>
      <w:r w:rsidRPr="002E36B4">
        <w:rPr>
          <w:rFonts w:ascii="Times New Roman" w:hAnsi="Times New Roman" w:cs="Times New Roman"/>
        </w:rPr>
        <w:t xml:space="preserve"> April 2023: “What’s trending in Difference-in-Differences”</w:t>
      </w:r>
      <w:r w:rsidR="00C57F68">
        <w:rPr>
          <w:rFonts w:ascii="Times New Roman" w:hAnsi="Times New Roman" w:cs="Times New Roman"/>
        </w:rPr>
        <w:t xml:space="preserve"> </w:t>
      </w:r>
      <w:hyperlink r:id="rId6" w:history="1">
        <w:r w:rsidR="00C57F68" w:rsidRPr="00757301">
          <w:rPr>
            <w:rStyle w:val="Hyperlink"/>
            <w:rFonts w:ascii="Times New Roman" w:hAnsi="Times New Roman" w:cs="Times New Roman"/>
          </w:rPr>
          <w:t>https://www.jonathandroth.com/assets/files/DiD_Review_Paper.pdf</w:t>
        </w:r>
      </w:hyperlink>
      <w:r w:rsidR="00C57F68">
        <w:rPr>
          <w:rFonts w:ascii="Times New Roman" w:hAnsi="Times New Roman" w:cs="Times New Roman"/>
        </w:rPr>
        <w:t xml:space="preserve">  </w:t>
      </w:r>
    </w:p>
    <w:p w14:paraId="7884238E" w14:textId="0B2D5CBB" w:rsidR="000C332C" w:rsidRPr="00C57F68" w:rsidRDefault="00C57F68" w:rsidP="00C57F68">
      <w:pPr>
        <w:rPr>
          <w:rFonts w:ascii="Times New Roman" w:hAnsi="Times New Roman" w:cs="Times New Roman"/>
        </w:rPr>
      </w:pPr>
      <w:r w:rsidRPr="00C57F68">
        <w:rPr>
          <w:rFonts w:ascii="Times New Roman" w:hAnsi="Times New Roman" w:cs="Times New Roman"/>
        </w:rPr>
        <w:t>During the research analysis</w:t>
      </w:r>
      <w:r w:rsidRPr="00C57F68">
        <w:rPr>
          <w:rFonts w:ascii="Times New Roman" w:hAnsi="Times New Roman" w:cs="Times New Roman"/>
        </w:rPr>
        <w:t>,</w:t>
      </w:r>
      <w:r w:rsidRPr="00C57F68">
        <w:rPr>
          <w:rFonts w:ascii="Times New Roman" w:hAnsi="Times New Roman" w:cs="Times New Roman"/>
        </w:rPr>
        <w:t xml:space="preserve"> </w:t>
      </w:r>
      <w:r w:rsidRPr="00C57F68">
        <w:rPr>
          <w:rFonts w:ascii="Times New Roman" w:hAnsi="Times New Roman" w:cs="Times New Roman"/>
        </w:rPr>
        <w:t>Generative</w:t>
      </w:r>
      <w:r w:rsidRPr="00C57F68">
        <w:rPr>
          <w:rFonts w:ascii="Times New Roman" w:hAnsi="Times New Roman" w:cs="Times New Roman"/>
        </w:rPr>
        <w:t xml:space="preserve"> AI (ChatGPT) was used to improve and learn some parts of </w:t>
      </w:r>
      <w:r w:rsidRPr="00C57F68">
        <w:rPr>
          <w:rFonts w:ascii="Times New Roman" w:hAnsi="Times New Roman" w:cs="Times New Roman"/>
        </w:rPr>
        <w:t xml:space="preserve">the </w:t>
      </w:r>
      <w:r w:rsidRPr="00C57F68">
        <w:rPr>
          <w:rFonts w:ascii="Times New Roman" w:hAnsi="Times New Roman" w:cs="Times New Roman"/>
        </w:rPr>
        <w:t>Python code, and Grammarly.com was used to improve the readability of the research pape</w:t>
      </w:r>
      <w:r w:rsidRPr="00C57F68">
        <w:rPr>
          <w:rFonts w:ascii="Times New Roman" w:hAnsi="Times New Roman" w:cs="Times New Roman"/>
        </w:rPr>
        <w:t>r.</w:t>
      </w:r>
    </w:p>
    <w:sectPr w:rsidR="000C332C" w:rsidRPr="00C57F68" w:rsidSect="00C57F68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B0"/>
    <w:rsid w:val="000C332C"/>
    <w:rsid w:val="0013620C"/>
    <w:rsid w:val="00541206"/>
    <w:rsid w:val="005558B0"/>
    <w:rsid w:val="005D4526"/>
    <w:rsid w:val="00656098"/>
    <w:rsid w:val="006B7F8E"/>
    <w:rsid w:val="00750E32"/>
    <w:rsid w:val="00864FD1"/>
    <w:rsid w:val="00B50B72"/>
    <w:rsid w:val="00BB6133"/>
    <w:rsid w:val="00C57F68"/>
    <w:rsid w:val="00CC230D"/>
    <w:rsid w:val="00E91919"/>
    <w:rsid w:val="00EB3E21"/>
    <w:rsid w:val="00FE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6F42C"/>
  <w15:chartTrackingRefBased/>
  <w15:docId w15:val="{4F52B307-FBE0-48E9-A8E7-2A2100E1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B72"/>
  </w:style>
  <w:style w:type="paragraph" w:styleId="Heading1">
    <w:name w:val="heading 1"/>
    <w:basedOn w:val="Normal"/>
    <w:next w:val="Normal"/>
    <w:link w:val="Heading1Char"/>
    <w:uiPriority w:val="9"/>
    <w:qFormat/>
    <w:rsid w:val="00555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8B0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B50B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0B72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B50B72"/>
    <w:rPr>
      <w:b/>
      <w:bCs/>
    </w:rPr>
  </w:style>
  <w:style w:type="character" w:styleId="Hyperlink">
    <w:name w:val="Hyperlink"/>
    <w:basedOn w:val="DefaultParagraphFont"/>
    <w:uiPriority w:val="99"/>
    <w:unhideWhenUsed/>
    <w:rsid w:val="00C57F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nathandroth.com/assets/files/DiD_Review_Paper.pd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1120</Words>
  <Characters>6689</Characters>
  <Application>Microsoft Office Word</Application>
  <DocSecurity>0</DocSecurity>
  <Lines>191</Lines>
  <Paragraphs>144</Paragraphs>
  <ScaleCrop>false</ScaleCrop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Elya Madambekova Uysal</dc:creator>
  <cp:keywords/>
  <dc:description/>
  <cp:lastModifiedBy>Elya Madambekova Uysal</cp:lastModifiedBy>
  <cp:revision>5</cp:revision>
  <dcterms:created xsi:type="dcterms:W3CDTF">2025-04-20T08:55:00Z</dcterms:created>
  <dcterms:modified xsi:type="dcterms:W3CDTF">2025-04-20T09:24:00Z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7244af2db0e1861fa7563b88663d6c1b5073adc4ab3dc3a003a254234124f470</vt:lpwstr>
  </property>
</Properties>
</file>