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563EB"/>
          <w:sz w:val="22"/>
        </w:rPr>
        <w:t>PLATAFORMA CIENTÍFICA DE GEMELO DIGITAL MINERO</w:t>
      </w:r>
    </w:p>
    <w:p>
      <w:pPr>
        <w:spacing w:before="80" w:after="240"/>
      </w:pPr>
      <w:r>
        <w:rPr>
          <w:rFonts w:ascii="Calibri" w:hAnsi="Calibri"/>
          <w:b/>
          <w:color w:val="1E3A8A"/>
          <w:sz w:val="48"/>
        </w:rPr>
        <w:t>MOTOR DE INTELIGENCIA ARTIFICIAL &amp; ANALÍTICA PREDICTIVA</w:t>
      </w:r>
    </w:p>
    <w:p>
      <w:pPr>
        <w:spacing w:before="0" w:after="360"/>
      </w:pPr>
      <w:r>
        <w:rPr>
          <w:rFonts w:ascii="Calibri" w:hAnsi="Calibri"/>
          <w:color w:val="334155"/>
          <w:sz w:val="24"/>
        </w:rPr>
        <w:t>Metodología CRISP-DM Completa: Comprensión del Negocio, EDA Multifuente, Preparación Anti-Leakage, Validación Cruzada 5-Fold, Selección de Algoritmos, Batería Estadística No Paramétrica, Explicabilidad SHAP y Despliegue Operativo.</w:t>
      </w:r>
    </w:p>
    <w:p>
      <w:pPr>
        <w:spacing w:before="0" w:after="480"/>
      </w:pPr>
      <w:r>
        <w:rPr>
          <w:color w:val="2563EB"/>
        </w:rPr>
        <w:t>――――――――――――――――――――――――――――――――――――――――――――――――――――――――――</w:t>
      </w:r>
    </w:p>
    <w:tbl>
      <w:tblPr>
        <w:tblW w:type="auto" w:w="0"/>
        <w:jc w:val="center"/>
        <w:tblLook w:firstColumn="1" w:firstRow="1" w:lastColumn="0" w:lastRow="0" w:noHBand="0" w:noVBand="1" w:val="04A0"/>
      </w:tblPr>
      <w:tblGrid>
        <w:gridCol w:w="4680"/>
        <w:gridCol w:w="4680"/>
      </w:tblGrid>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Artículo Base:</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Gemelo Digital Orientado a la Resiliencia ante Disrupciones en la Logística de Repuestos Críticos de Minería Subterránea</w:t>
            </w:r>
          </w:p>
        </w:tc>
      </w:tr>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Módulos CRISP-DM:</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7 Fases Metodológicas Formales (100% Cobertura Integral)</w:t>
            </w:r>
          </w:p>
        </w:tc>
      </w:tr>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Volumetría Dataset:</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10,000 Registros Maestros Estratificados (11 Fuentes Científicas Internacionales)</w:t>
            </w:r>
          </w:p>
        </w:tc>
      </w:tr>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Batería de Figuras:</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29 Figuras Científicas de Alta Resolución a 300 DPI (Norma IEEE / Elsevier)</w:t>
            </w:r>
          </w:p>
        </w:tc>
      </w:tr>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Pipeline Ganador:</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LightGBM Classifier Optimizado (F1 CV: 0.9996 | Inferencia: 0.015 ms)</w:t>
            </w:r>
          </w:p>
        </w:tc>
      </w:tr>
      <w:tr>
        <w:tc>
          <w:tcPr>
            <w:tcW w:type="dxa" w:w="3168"/>
            <w:shd w:fill="F1F5F9"/>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i w:val="0"/>
                <w:color w:val="1E3A8A"/>
                <w:sz w:val="19"/>
              </w:rPr>
              <w:t>Fecha y Versión:</w:t>
            </w:r>
          </w:p>
        </w:tc>
        <w:tc>
          <w:tcPr>
            <w:tcW w:type="dxa" w:w="6192"/>
            <w:shd w:fill="FFFFFF"/>
            <w:tcBorders>
              <w:top w:val="single" w:sz="4" w:space="0" w:color="CBD5E1"/>
              <w:left w:val="single" w:sz="4" w:space="0" w:color="CBD5E1"/>
              <w:bottom w:val="single" w:sz="4" w:space="0" w:color="CBD5E1"/>
              <w:right w:val="single" w:sz="4" w:space="0" w:color="CBD5E1"/>
            </w:tcBorders>
            <w:tcMar>
              <w:top w:w="100" w:type="dxa"/>
              <w:bottom w:w="100" w:type="dxa"/>
              <w:left w:w="120" w:type="dxa"/>
              <w:right w:w="120" w:type="dxa"/>
            </w:tcMar>
          </w:tcPr>
          <w:p>
            <w:pPr>
              <w:spacing w:before="20" w:after="20" w:line="252" w:lineRule="auto"/>
              <w:jc w:val="left"/>
            </w:pPr>
            <w:r>
              <w:rPr>
                <w:rFonts w:ascii="Calibri" w:hAnsi="Calibri"/>
                <w:b w:val="0"/>
                <w:i w:val="0"/>
                <w:color w:val="1E293B"/>
                <w:sz w:val="19"/>
              </w:rPr>
              <w:t>Septiembre 2026 — Versión 2.0 Definitiva para Producción y Publicación Científica</w:t>
            </w:r>
          </w:p>
        </w:tc>
      </w:tr>
    </w:tbl>
    <w:p>
      <w:r>
        <w:br w:type="page"/>
      </w:r>
    </w:p>
    <w:p>
      <w:pPr>
        <w:pStyle w:val="Heading1"/>
        <w:keepNext/>
        <w:spacing w:before="360" w:after="160"/>
      </w:pPr>
      <w:r>
        <w:rPr>
          <w:rFonts w:ascii="Calibri" w:hAnsi="Calibri"/>
          <w:b/>
          <w:color w:val="1E3A8A"/>
          <w:sz w:val="36"/>
        </w:rPr>
        <w:t>Resumen Ejecutivo del Motor de Inteligencia Artificial</w:t>
      </w:r>
    </w:p>
    <w:p>
      <w:pPr>
        <w:spacing w:before="0" w:after="100" w:line="276" w:lineRule="auto"/>
      </w:pPr>
      <w:r>
        <w:rPr>
          <w:rFonts w:ascii="Calibri" w:hAnsi="Calibri"/>
          <w:b/>
          <w:color w:val="0F172A"/>
          <w:sz w:val="20"/>
        </w:rPr>
        <w:t xml:space="preserve">Propósito Estratégico y Relevancia Económica: </w:t>
      </w:r>
      <w:r>
        <w:rPr>
          <w:rFonts w:ascii="Calibri" w:hAnsi="Calibri"/>
          <w:i w:val="0"/>
          <w:color w:val="1E293B"/>
          <w:sz w:val="20"/>
        </w:rPr>
        <w:t>El presente documento técnico y científico constituye la memoria exhaustiva del Motor de Inteligencia Artificial &amp; Analítica Predictiva integrado en la plataforma de Gemelo Digital Minero. El objetivo fundamental del sistema es predecir de manera anticipada (horizonte de 60 a 90 días) quiebres de stock y paradas catastróficas no programadas de la flota pesada de minería subterránea profunda (cargadores frontales de bajo perfil Scooptram LHD, jumbos de perforación frontal electrohidráulica y sistemas de bombeo de desagüe principal). Cada hora de detención de un equipo crítico de acarreo genera pérdidas económicas estimadas en $14,500 USD por hora, totalizando más de $696,000 USD ante eventos típicos de desabastecimiento de 48 horas.</w:t>
      </w:r>
    </w:p>
    <w:p>
      <w:pPr>
        <w:spacing w:before="0" w:after="100" w:line="276" w:lineRule="auto"/>
      </w:pPr>
      <w:r>
        <w:rPr>
          <w:rFonts w:ascii="Calibri" w:hAnsi="Calibri"/>
          <w:b/>
          <w:color w:val="0F172A"/>
          <w:sz w:val="20"/>
        </w:rPr>
        <w:t xml:space="preserve">Marco Metodológico CRISP-DM: </w:t>
      </w:r>
      <w:r>
        <w:rPr>
          <w:rFonts w:ascii="Calibri" w:hAnsi="Calibri"/>
          <w:i w:val="0"/>
          <w:color w:val="1E293B"/>
          <w:sz w:val="20"/>
        </w:rPr>
        <w:t>Para garantizar los más altos estándares de reproducibilidad, rigor experimental y validez para publicación en revistas indexadas (Q1/Q2), todo el ciclo de diseño, experimentación, contraste de hipótesis y despliegue fue estructurado bajo las 6 fases de la metodología estándar internacional CRISP-DM (Cross-Industry Standard Process for Data Mining), extendida a 7 módulos funcionales:</w:t>
      </w:r>
    </w:p>
    <w:p>
      <w:pPr>
        <w:pStyle w:val="ListBullet"/>
        <w:spacing w:before="20" w:after="40" w:line="264" w:lineRule="auto"/>
      </w:pPr>
      <w:r>
        <w:rPr>
          <w:b/>
          <w:color w:val="1E3A8A"/>
          <w:sz w:val="19"/>
        </w:rPr>
        <w:t xml:space="preserve">Fase 1 (Módulo 1) — Comprensión del Negocio Minero: </w:t>
      </w:r>
      <w:r>
        <w:rPr>
          <w:color w:val="1E293B"/>
          <w:sz w:val="19"/>
        </w:rPr>
        <w:t>Definición de costos asimétricos (penalización 15,466:1 entre falsos negativos y falsos positivos) y criterios cuantitativos de aceptación.</w:t>
      </w:r>
    </w:p>
    <w:p>
      <w:pPr>
        <w:pStyle w:val="ListBullet"/>
        <w:spacing w:before="20" w:after="40" w:line="264" w:lineRule="auto"/>
      </w:pPr>
      <w:r>
        <w:rPr>
          <w:b/>
          <w:color w:val="1E3A8A"/>
          <w:sz w:val="19"/>
        </w:rPr>
        <w:t xml:space="preserve">Fase 2 (Módulo 2) — Análisis Exploratorio de Datos (EDA): </w:t>
      </w:r>
      <w:r>
        <w:rPr>
          <w:color w:val="1E293B"/>
          <w:sz w:val="19"/>
        </w:rPr>
        <w:t>Armonización de 10,000 registros provenientes de 11 fuentes científicas e industriales (MSHA, FEMTO, XJTU-SY, B2B, CBM, NASA Turbofan, etc.) con 64 variables multidimensionales.</w:t>
      </w:r>
    </w:p>
    <w:p>
      <w:pPr>
        <w:pStyle w:val="ListBullet"/>
        <w:spacing w:before="20" w:after="40" w:line="264" w:lineRule="auto"/>
      </w:pPr>
      <w:r>
        <w:rPr>
          <w:b/>
          <w:color w:val="1E3A8A"/>
          <w:sz w:val="19"/>
        </w:rPr>
        <w:t xml:space="preserve">Fase 3 (Módulo 3) — Preparación de Datos &amp; Control Anti-Leakage: </w:t>
      </w:r>
      <w:r>
        <w:rPr>
          <w:color w:val="1E293B"/>
          <w:sz w:val="19"/>
        </w:rPr>
        <w:t>Ingeniería de 10 variables de dominio cinemático e inventario, partición estratificada 80/20 y auditoría exhaustiva con exclusión de 10 columnas post-evento.</w:t>
      </w:r>
    </w:p>
    <w:p>
      <w:pPr>
        <w:pStyle w:val="ListBullet"/>
        <w:spacing w:before="20" w:after="40" w:line="264" w:lineRule="auto"/>
      </w:pPr>
      <w:r>
        <w:rPr>
          <w:b/>
          <w:color w:val="1E3A8A"/>
          <w:sz w:val="19"/>
        </w:rPr>
        <w:t xml:space="preserve">Fase 4 (Módulo 4) — Validación Cruzada Pareada 5-Fold: </w:t>
      </w:r>
      <w:r>
        <w:rPr>
          <w:color w:val="1E293B"/>
          <w:sz w:val="19"/>
        </w:rPr>
        <w:t>Entrenamiento cruzado y pareado idéntico de 5 familias algorítmicas (LightGBM, XGBoost, Random Forest, SVM y Regresión Logística) sobre 25 pliegues de ajuste.</w:t>
      </w:r>
    </w:p>
    <w:p>
      <w:pPr>
        <w:pStyle w:val="ListBullet"/>
        <w:spacing w:before="20" w:after="40" w:line="264" w:lineRule="auto"/>
      </w:pPr>
      <w:r>
        <w:rPr>
          <w:b/>
          <w:color w:val="1E3A8A"/>
          <w:sz w:val="19"/>
        </w:rPr>
        <w:t xml:space="preserve">Fase 5 (Módulo 5) — Selección del Mejor Modelo &amp; Tuning: </w:t>
      </w:r>
      <w:r>
        <w:rPr>
          <w:color w:val="1E293B"/>
          <w:sz w:val="19"/>
        </w:rPr>
        <w:t>Optimización hiperparamétrica de LightGBM (F1 = 0.9996, ROC-AUC = 1.0000, ajuste en 9.36s, latencia de inferencia de 0.015 ms por consulta).</w:t>
      </w:r>
    </w:p>
    <w:p>
      <w:pPr>
        <w:pStyle w:val="ListBullet"/>
        <w:spacing w:before="20" w:after="40" w:line="264" w:lineRule="auto"/>
      </w:pPr>
      <w:r>
        <w:rPr>
          <w:b/>
          <w:color w:val="1E3A8A"/>
          <w:sz w:val="19"/>
        </w:rPr>
        <w:t xml:space="preserve">Fase 6 (Módulo 6) — Pruebas Estadísticas Robustas No Paramétricas: </w:t>
      </w:r>
      <w:r>
        <w:rPr>
          <w:color w:val="1E293B"/>
          <w:sz w:val="19"/>
        </w:rPr>
        <w:t>Batería científica integral con Test de Friedman (p = 0.00118 &lt; 0.01), Wilcoxon con corrección de Holm-Bonferroni, Nemenyi (CD = 2.7280), remuestreo Bootstrap BCa (10,000 iteraciones) y tamaño de efecto Cliff's Delta.</w:t>
      </w:r>
    </w:p>
    <w:p>
      <w:pPr>
        <w:pStyle w:val="ListBullet"/>
        <w:spacing w:before="20" w:after="40" w:line="264" w:lineRule="auto"/>
      </w:pPr>
      <w:r>
        <w:rPr>
          <w:b/>
          <w:color w:val="1E3A8A"/>
          <w:sz w:val="19"/>
        </w:rPr>
        <w:t xml:space="preserve">Fase 7 (Módulo 7) — Reportes, Desempeño en TEST &amp; Gemelo Digital: </w:t>
      </w:r>
      <w:r>
        <w:rPr>
          <w:color w:val="1E293B"/>
          <w:sz w:val="19"/>
        </w:rPr>
        <w:t>Evaluación imparcial en 800 casos ciegos (Exactitud 100%, Recall 100%), explicabilidad global SHAP de caja gris, robustez multisemilla (5 semillas) y simulador en tiempo real integrado con la topografía 3D.</w:t>
      </w:r>
    </w:p>
    <w:p>
      <w:pPr>
        <w:spacing w:before="0" w:after="280" w:line="276" w:lineRule="auto"/>
      </w:pPr>
      <w:r>
        <w:rPr>
          <w:rFonts w:ascii="Calibri" w:hAnsi="Calibri"/>
          <w:b/>
          <w:color w:val="0F172A"/>
          <w:sz w:val="20"/>
        </w:rPr>
        <w:t xml:space="preserve">Completitud de Artefactos: </w:t>
      </w:r>
      <w:r>
        <w:rPr>
          <w:rFonts w:ascii="Calibri" w:hAnsi="Calibri"/>
          <w:i w:val="0"/>
          <w:color w:val="1E293B"/>
          <w:sz w:val="20"/>
        </w:rPr>
        <w:t>El documento integra en su totalidad las 29 figuras científicas de 300 DPI generadas por el pipeline experimental, junto con todas las tablas cuantitativas, matrices de confusión, curvas ROC/PR, diagramas de diferencia crítica y los análisis de explicabilidad técnica y operacional correspondientes.</w:t>
      </w:r>
    </w:p>
    <w:p>
      <w:r>
        <w:br w:type="page"/>
      </w:r>
    </w:p>
    <w:p>
      <w:pPr>
        <w:pStyle w:val="Heading1"/>
        <w:keepNext/>
        <w:spacing w:before="360" w:after="160"/>
      </w:pPr>
      <w:r>
        <w:rPr>
          <w:rFonts w:ascii="Calibri" w:hAnsi="Calibri"/>
          <w:b/>
          <w:color w:val="1E3A8A"/>
          <w:sz w:val="36"/>
        </w:rPr>
        <w:t>Módulo 1: Comprensión del Negocio Minero y Formulación del Problema</w:t>
      </w:r>
    </w:p>
    <w:p>
      <w:pPr>
        <w:spacing w:before="0" w:after="100" w:line="276" w:lineRule="auto"/>
      </w:pPr>
      <w:r>
        <w:rPr>
          <w:rFonts w:ascii="Calibri" w:hAnsi="Calibri"/>
          <w:i/>
          <w:color w:val="1E293B"/>
          <w:sz w:val="20"/>
        </w:rPr>
        <w:t>Fase 1 de la Metodología CRISP-DM: Alineación de objetivos de machine learning con la física operacional de interior mina y la mitigación de disrupciones en la cadena de abastecimiento.</w:t>
      </w:r>
    </w:p>
    <w:tbl>
      <w:tblPr>
        <w:tblW w:type="auto" w:w="0"/>
        <w:jc w:val="center"/>
        <w:tblLook w:firstColumn="1" w:firstRow="1" w:lastColumn="0" w:lastRow="0" w:noHBand="0" w:noVBand="1" w:val="04A0"/>
      </w:tblPr>
      <w:tblGrid>
        <w:gridCol w:w="2340"/>
        <w:gridCol w:w="2340"/>
        <w:gridCol w:w="2340"/>
        <w:gridCol w:w="2340"/>
      </w:tblGrid>
      <w:tr>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Costo de Parada</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Flota Crítica</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Lead Time Espera</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Meta Resiliencia</w:t>
            </w:r>
          </w:p>
        </w:tc>
      </w:tr>
      <w:tr>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$14,500 USD / h</w:t>
              <w:br/>
              <w:t>(Impacto Catastrófico)</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LHD Scooptram</w:t>
              <w:br/>
              <w:t>Jumbos &amp; Bombas</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48.0 h (Media MSHA)</w:t>
              <w:br/>
              <w:t>60% del Downtime</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Ventana 60-90 días</w:t>
              <w:br/>
              <w:t>Dual Sourcing Express</w:t>
            </w:r>
          </w:p>
        </w:tc>
      </w:tr>
    </w:tbl>
    <w:p>
      <w:pPr>
        <w:pStyle w:val="Heading2"/>
        <w:keepNext/>
        <w:spacing w:before="280" w:after="120"/>
      </w:pPr>
      <w:r>
        <w:rPr>
          <w:rFonts w:ascii="Calibri" w:hAnsi="Calibri"/>
          <w:b/>
          <w:color w:val="2563EB"/>
          <w:sz w:val="28"/>
        </w:rPr>
        <w:t>1.1 Diagrama Causal de la Cadena de Suministro y Disrupción Minera</w:t>
      </w:r>
    </w:p>
    <w:tbl>
      <w:tblPr>
        <w:tblW w:type="auto" w:w="0"/>
        <w:tblLook w:firstColumn="1" w:firstRow="1" w:lastColumn="0" w:lastRow="0" w:noHBand="0" w:noVBand="1" w:val="04A0"/>
      </w:tblPr>
      <w:tblGrid>
        <w:gridCol w:w="9360"/>
      </w:tblGrid>
      <w:tr>
        <w:tc>
          <w:tcPr>
            <w:tcW w:type="dxa" w:w="9360"/>
            <w:shd w:fill="0F172A"/>
            <w:tcBorders>
              <w:top w:val="single" w:sz="6" w:space="0" w:color="1E3A8A"/>
              <w:left w:val="single" w:sz="6" w:space="0" w:color="1E3A8A"/>
              <w:bottom w:val="single" w:sz="6" w:space="0" w:color="1E3A8A"/>
              <w:right w:val="single" w:sz="6" w:space="0" w:color="1E3A8A"/>
            </w:tcBorders>
            <w:tcMar>
              <w:top w:w="120" w:type="dxa"/>
              <w:bottom w:w="120" w:type="dxa"/>
              <w:left w:w="140" w:type="dxa"/>
              <w:right w:w="140" w:type="dxa"/>
            </w:tcMar>
          </w:tcPr>
          <w:p>
            <w:pPr>
              <w:jc w:val="center"/>
            </w:pPr>
            <w:r>
              <w:rPr>
                <w:rFonts w:ascii="Courier New" w:hAnsi="Courier New"/>
                <w:b/>
                <w:color w:val="93C5FD"/>
                <w:sz w:val="16"/>
              </w:rPr>
              <w:t>MINA ──► EQUIPO ──► COMPONENTE ──► REPUESTO ──► FALLA ──► DEMANDA ──► INVENTARIO ──► ORDEN ──► PROVEEDOR ──► LEAD TIME ──► ENTREGA ──► DISPONIBILIDAD</w:t>
              <w:br/>
              <w:t xml:space="preserve">                                             │                                                                                ▲</w:t>
              <w:br/>
              <w:t xml:space="preserve">                                             └──► DISRUPCIÓN LOGÍSTICA (Quiebre Stock) ──► DOWNTIME ($14.5k/h) ───────────────┘</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Gráfico 1.1 — Cadena Causal de Suministro y Disrupción Minera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diagrama modela el flujo end-to-end de propagación del riesgo operacional. Una falla no anticipada en un componente crítico de interior mina genera un pulso de demanda estocástico sobre el inventario en pañol. Si el tiempo de reposición del proveedor (lead time internacional) supera el stock de seguridad amortiguador, se desencadena un quiebre de stock que amplifica directamente el tiempo de detención del equipo.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minería subterránea profunda (métodos Sublevel Stoping o Block Caving), el ciclo de producción depende secuencialmente del carguío continuo con LHD hacia piques y camiones. La detención de un solo Scooptram de 14 yardas cúbicas paraliza el ciclo de acarreo de toda la sección, generando pérdidas acumuladas de $14,500 USD por hora por mineral no extraído y cuadrillas ociosas.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Formular el problema de Machine Learning como una clasificación binaria predictiva anticipatoria (target: 'failure_label') que alerte 60 a 90 días antes del evento con el fin de activar fletes express aéreos o dual sourcing internacional.</w:t>
            </w:r>
          </w:p>
        </w:tc>
      </w:tr>
    </w:tbl>
    <w:p>
      <w:pPr>
        <w:spacing w:before="0" w:after="120"/>
      </w:pPr>
    </w:p>
    <w:p>
      <w:pPr>
        <w:pStyle w:val="Heading2"/>
        <w:keepNext/>
        <w:spacing w:before="280" w:after="120"/>
      </w:pPr>
      <w:r>
        <w:rPr>
          <w:rFonts w:ascii="Calibri" w:hAnsi="Calibri"/>
          <w:b/>
          <w:color w:val="2563EB"/>
          <w:sz w:val="28"/>
        </w:rPr>
        <w:t>1.2 Matriz de Costos Asimétricos de Decisión Minera</w:t>
      </w:r>
    </w:p>
    <w:p>
      <w:pPr>
        <w:spacing w:before="0" w:after="120" w:line="276" w:lineRule="auto"/>
      </w:pPr>
      <w:r>
        <w:rPr>
          <w:rFonts w:ascii="Calibri" w:hAnsi="Calibri"/>
          <w:i w:val="0"/>
          <w:color w:val="1E293B"/>
          <w:sz w:val="20"/>
        </w:rPr>
        <w:t>En minería industrial, las consecuencias financieras y operativas de los errores predictivos son extremadamente dispares. Omitir una parada no planificada es catastrófico, mientras que incurrir en una compra preventiva tiene un costo financiero residual:</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0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Escenario de Decisión</w:t>
            </w:r>
          </w:p>
        </w:tc>
        <w:tc>
          <w:tcPr>
            <w:tcW w:type="dxa" w:w="302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Consecuencia Operacional</w:t>
            </w:r>
          </w:p>
        </w:tc>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Impacto Económico</w:t>
            </w:r>
          </w:p>
        </w:tc>
        <w:tc>
          <w:tcPr>
            <w:tcW w:type="dxa" w:w="187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Severidad</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Falso Negativo (FN)</w:t>
              <w:br/>
              <w:t>(No predecir quiebre)</w:t>
            </w:r>
          </w:p>
        </w:tc>
        <w:tc>
          <w:tcPr>
            <w:tcW w:type="dxa" w:w="302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Parada no planificada de Scooptram LHD en galería.</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$14,500 USD / h</w:t>
              <w:br/>
              <w:t>($696,000 USD en 48h)</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Crítica Extrema</w:t>
              <w:br/>
              <w:t>(Prioridad 1)</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Falso Positivo (FP)</w:t>
              <w:br/>
              <w:t>(Alarma innecesaria)</w:t>
            </w:r>
          </w:p>
        </w:tc>
        <w:tc>
          <w:tcPr>
            <w:tcW w:type="dxa" w:w="302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Adelanto preventivo de orden de compra en almacén.</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$45 USD / mes por SKU</w:t>
              <w:br/>
              <w:t>(costo financiero stock)</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Baja / Manejable</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Verdadero Positivo (VP)</w:t>
              <w:br/>
              <w:t>(Anticipación correcta)</w:t>
            </w:r>
          </w:p>
        </w:tc>
        <w:tc>
          <w:tcPr>
            <w:tcW w:type="dxa" w:w="302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Activación oportuna de dual sourcing y flete express.</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Ahorro neto de</w:t>
              <w:br/>
              <w:t>$696,000 USD por evento</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Éxito Operacional</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Verdadero Negativo (VN)</w:t>
              <w:br/>
              <w:t>(Operación normal)</w:t>
            </w:r>
          </w:p>
        </w:tc>
        <w:tc>
          <w:tcPr>
            <w:tcW w:type="dxa" w:w="302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Flujo de inventario estándar sin pedidos de urgencia.</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Costo operativo nominal</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Estabilidad</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1.1 — Matriz de Costos Asimétricos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Existe una penalización económica desbalanceada de 15,466 a 1 entre omitir un quiebre de stock (Falso Negativo: $696,000 USD en 48 horas) frente a una falsa alarma (Falso Positivo: $45 USD por mantenimiento de stock en bodega).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Esta severa asimetría exige que la función objetivo de aprendizaje no optimice la exactitud simple (Accuracy), sino que maximice estrictamente el Recall (Sensibilidad) y el F1-Score en la clase minoritaria crítica ('failure_label = 1'), penalizando fuertemente las omisiones mediante 'class_weight=balanced'.</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Fijar como criterio de aceptación matemática que el modelo seleccionado alcance un Recall &gt;= 0.95 y F1 &gt;= 0.90 en validación cruzada y en el conjunto de prueba independiente.</w:t>
            </w:r>
          </w:p>
        </w:tc>
      </w:tr>
    </w:tbl>
    <w:p>
      <w:pPr>
        <w:spacing w:before="0" w:after="120"/>
      </w:pPr>
    </w:p>
    <w:p>
      <w:pPr>
        <w:pStyle w:val="Heading2"/>
        <w:keepNext/>
        <w:spacing w:before="280" w:after="120"/>
      </w:pPr>
      <w:r>
        <w:rPr>
          <w:rFonts w:ascii="Calibri" w:hAnsi="Calibri"/>
          <w:b/>
          <w:color w:val="2563EB"/>
          <w:sz w:val="28"/>
        </w:rPr>
        <w:t>1.3 Criterios Cuantitativos de Aceptación para Producción Minera</w:t>
      </w:r>
    </w:p>
    <w:p>
      <w:pPr>
        <w:spacing w:before="0" w:after="120" w:line="276" w:lineRule="auto"/>
      </w:pPr>
      <w:r>
        <w:rPr>
          <w:rFonts w:ascii="Calibri" w:hAnsi="Calibri"/>
          <w:i w:val="0"/>
          <w:color w:val="1E293B"/>
          <w:sz w:val="20"/>
        </w:rPr>
        <w:t>Para garantizar la seguridad operacional y evitar falsas alertas en los despachadores de mina, se definieron los siguientes umbrales mandatorios: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Métrica / Requisito</w:t>
            </w:r>
          </w:p>
        </w:tc>
        <w:tc>
          <w:tcPr>
            <w:tcW w:type="dxa" w:w="201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Umbral Requerido</w:t>
            </w:r>
          </w:p>
        </w:tc>
        <w:tc>
          <w:tcPr>
            <w:tcW w:type="dxa" w:w="47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Justificación Operacional Minera</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F1-Score (Clase Crítica)</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&gt;= 0.90</w:t>
            </w:r>
          </w:p>
        </w:tc>
        <w:tc>
          <w:tcPr>
            <w:tcW w:type="dxa" w:w="47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Asegura balance óptimo entre exhaustividad de captura y precisión en órdenes de repuestos.</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ROC-AUC Global</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&gt;= 0.95</w:t>
            </w:r>
          </w:p>
        </w:tc>
        <w:tc>
          <w:tcPr>
            <w:tcW w:type="dxa" w:w="47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Capacidad discriminativa robusta entre perfiles operacionales nominales y estados de degradación.</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Recall (Sensibilidad)</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&gt;= 0.92</w:t>
            </w:r>
          </w:p>
        </w:tc>
        <w:tc>
          <w:tcPr>
            <w:tcW w:type="dxa" w:w="47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Minimizar a cero las paradas catastróficas no detectadas de la flota de acarreo.</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Latencia de Inferencia</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&lt; 100 ms</w:t>
            </w:r>
          </w:p>
        </w:tc>
        <w:tc>
          <w:tcPr>
            <w:tcW w:type="dxa" w:w="47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Compatibilidad estricta con lazos de control en tiempo real y simulación basada en agentes (ABM).</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Estabilidad Inter-Fold</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Desv. Est. &lt; 0.02</w:t>
            </w:r>
          </w:p>
        </w:tc>
        <w:tc>
          <w:tcPr>
            <w:tcW w:type="dxa" w:w="47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Garantiza generalización uniforme y ausencia de sobreajuste local a lotes específicos de datos.</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1.2 — Criterios Cuantitativos de Aceptación</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formulan 5 criterios rigurosos de homologación técnica. Cualquier modelo que no supere simultáneamente el 100% de estos requisitos queda automáticamente inhabilitado para su despliegue en el Gemelo Digital.</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Estos umbrales aseguran que el sistema proporcione alertas confiables y accionables a los planificadores de mantenimiento RCM y a los superintendentes de operaciones de interior mina.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Aprobar formalmente los criterios de aceptación y avanzar a la fase de análisis exploratorio de datos (EDA).</w:t>
            </w:r>
          </w:p>
        </w:tc>
      </w:tr>
    </w:tbl>
    <w:p>
      <w:pPr>
        <w:spacing w:before="0" w:after="120"/>
      </w:pPr>
    </w:p>
    <w:p>
      <w:r>
        <w:br w:type="page"/>
      </w:r>
    </w:p>
    <w:p>
      <w:pPr>
        <w:pStyle w:val="Heading1"/>
        <w:keepNext/>
        <w:spacing w:before="360" w:after="160"/>
      </w:pPr>
      <w:r>
        <w:rPr>
          <w:rFonts w:ascii="Calibri" w:hAnsi="Calibri"/>
          <w:b/>
          <w:color w:val="1E3A8A"/>
          <w:sz w:val="36"/>
        </w:rPr>
        <w:t>Módulo 2: Análisis Exploratorio de Datos (EDA) del Dataset Maestro</w:t>
      </w:r>
    </w:p>
    <w:p>
      <w:pPr>
        <w:spacing w:before="0" w:after="100" w:line="276" w:lineRule="auto"/>
      </w:pPr>
      <w:r>
        <w:rPr>
          <w:rFonts w:ascii="Calibri" w:hAnsi="Calibri"/>
          <w:i/>
          <w:color w:val="1E293B"/>
          <w:sz w:val="20"/>
        </w:rPr>
        <w:t>Fase 2 de la Metodología CRISP-DM: Caracterización multidimensional de 10,000 registros integrados desde 11 repositorios científicos internacionales.</w:t>
      </w:r>
    </w:p>
    <w:tbl>
      <w:tblPr>
        <w:tblW w:type="auto" w:w="0"/>
        <w:jc w:val="center"/>
        <w:tblLook w:firstColumn="1" w:firstRow="1" w:lastColumn="0" w:lastRow="0" w:noHBand="0" w:noVBand="1" w:val="04A0"/>
      </w:tblPr>
      <w:tblGrid>
        <w:gridCol w:w="2340"/>
        <w:gridCol w:w="2340"/>
        <w:gridCol w:w="2340"/>
        <w:gridCol w:w="2340"/>
      </w:tblGrid>
      <w:tr>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Muestra Maestro</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Variables Totales</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Cohorte Ground Truth</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Balance de Clases</w:t>
            </w:r>
          </w:p>
        </w:tc>
      </w:tr>
      <w:tr>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10,000 Registros</w:t>
              <w:br/>
              <w:t>11 Fuentes Científicas</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64 Columnas</w:t>
              <w:br/>
              <w:t>Multidimensional</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3,998 Filas Etiquetadas</w:t>
              <w:br/>
              <w:t>Observabilidad Total</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64.5% Normal (2,579)</w:t>
              <w:br/>
              <w:t>35.5% Falla (1,419)</w:t>
            </w:r>
          </w:p>
        </w:tc>
      </w:tr>
    </w:tbl>
    <w:p>
      <w:pPr>
        <w:pStyle w:val="Heading2"/>
        <w:keepNext/>
        <w:spacing w:before="280" w:after="120"/>
      </w:pPr>
      <w:r>
        <w:rPr>
          <w:rFonts w:ascii="Calibri" w:hAnsi="Calibri"/>
          <w:b/>
          <w:color w:val="2563EB"/>
          <w:sz w:val="28"/>
        </w:rPr>
        <w:t>2.1 Distribución Representativa de Registros por Dataset Fuente</w:t>
      </w:r>
    </w:p>
    <w:p>
      <w:pPr>
        <w:spacing w:before="0" w:after="120" w:line="276" w:lineRule="auto"/>
      </w:pPr>
      <w:r>
        <w:rPr>
          <w:rFonts w:ascii="Calibri" w:hAnsi="Calibri"/>
          <w:i w:val="0"/>
          <w:color w:val="1E293B"/>
          <w:sz w:val="20"/>
        </w:rPr>
        <w:t>El dataset maestro fue consolidado a partir de 11 fuentes especializadas que combinan registros de accidentes mineros de campo, historiales transaccionales de repuestos y telemetría de vibraciones de alta frecuencia:</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46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Dataset Fuente Científico</w:t>
            </w:r>
          </w:p>
        </w:tc>
        <w:tc>
          <w:tcPr>
            <w:tcW w:type="dxa" w:w="230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Registros Extraídos</w:t>
            </w:r>
          </w:p>
        </w:tc>
        <w:tc>
          <w:tcPr>
            <w:tcW w:type="dxa" w:w="244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Participación (%)</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Backorder_Prediction</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3,000</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30.00%</w:t>
            </w:r>
          </w:p>
        </w:tc>
      </w:tr>
      <w:tr>
        <w:tc>
          <w:tcPr>
            <w:tcW w:type="dxa" w:w="46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B2B_Parts_Rec</w:t>
            </w:r>
          </w:p>
        </w:tc>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2,000</w:t>
            </w:r>
          </w:p>
        </w:tc>
        <w:tc>
          <w:tcPr>
            <w:tcW w:type="dxa" w:w="244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20.00%</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MSHA_Accidents</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r>
      <w:tr>
        <w:tc>
          <w:tcPr>
            <w:tcW w:type="dxa" w:w="46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FEMTO_Bearing</w:t>
            </w:r>
          </w:p>
        </w:tc>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800</w:t>
            </w:r>
          </w:p>
        </w:tc>
        <w:tc>
          <w:tcPr>
            <w:tcW w:type="dxa" w:w="244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8.00%</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XJTU_SY_Bearing</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700</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7.00%</w:t>
            </w:r>
          </w:p>
        </w:tc>
      </w:tr>
      <w:tr>
        <w:tc>
          <w:tcPr>
            <w:tcW w:type="dxa" w:w="46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MaintNorm</w:t>
            </w:r>
          </w:p>
        </w:tc>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c>
          <w:tcPr>
            <w:tcW w:type="dxa" w:w="244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MSHA_Mines</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r>
      <w:tr>
        <w:tc>
          <w:tcPr>
            <w:tcW w:type="dxa" w:w="46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Aviation_Spare_Parts</w:t>
            </w:r>
          </w:p>
        </w:tc>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c>
          <w:tcPr>
            <w:tcW w:type="dxa" w:w="244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5.00%</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Mining_Supply_Chain</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300</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3.00%</w:t>
            </w:r>
          </w:p>
        </w:tc>
      </w:tr>
      <w:tr>
        <w:tc>
          <w:tcPr>
            <w:tcW w:type="dxa" w:w="46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M5_Forecasting</w:t>
            </w:r>
          </w:p>
        </w:tc>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195</w:t>
            </w:r>
          </w:p>
        </w:tc>
        <w:tc>
          <w:tcPr>
            <w:tcW w:type="dxa" w:w="244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1.95%</w:t>
            </w:r>
          </w:p>
        </w:tc>
      </w:tr>
      <w:tr>
        <w:tc>
          <w:tcPr>
            <w:tcW w:type="dxa" w:w="46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model_defined</w:t>
            </w:r>
          </w:p>
        </w:tc>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w:t>
            </w:r>
          </w:p>
        </w:tc>
        <w:tc>
          <w:tcPr>
            <w:tcW w:type="dxa" w:w="244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0.05%</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2.1 — Distribución por Dataset Fuente</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 extracción estratificada totaliza 10,000 registros. La fuente Backorder_Prediction aporta 3,000 registros de órdenes logísticas, seguida de B2B_Parts_Rec con 2,000 y MSHA_Accidents con 1,500 eventos mineros reales reportados a la autoridad federal estadounidense. Adicionalmente, se incorporaron 1,500 registros de degradación acelerada y rodamientos (FEMTO y XJTU-SY), junto con 500 registros de mantenimiento normalizado (MaintNorm) y fuentes de aviación y cadena de suministro minero.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Esta arquitectura multifuente permite al modelo aprender tanto la dinámica de desgaste físico de componentes de alta criticidad (vibración RMS, curtosis, factor de cresta) como la incertidumbre logística de tiempos de entrega internacionales y niveles de stock.</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Mantener identificadores de proveniencia ('source_dataset') para realizar análisis de generalización cruzada y robustez por entorno.</w:t>
            </w:r>
          </w:p>
        </w:tc>
      </w:tr>
    </w:tbl>
    <w:p>
      <w:pPr>
        <w:spacing w:before="0" w:after="120"/>
      </w:pPr>
    </w:p>
    <w:p>
      <w:pPr>
        <w:pStyle w:val="Heading2"/>
        <w:keepNext/>
        <w:spacing w:before="280" w:after="120"/>
      </w:pPr>
      <w:r>
        <w:rPr>
          <w:rFonts w:ascii="Calibri" w:hAnsi="Calibri"/>
          <w:b/>
          <w:color w:val="2563EB"/>
          <w:sz w:val="28"/>
        </w:rPr>
        <w:t>2.2 Estadísticos Descriptivos Exhaustivos de Variables Numéricas Continuas</w:t>
      </w:r>
    </w:p>
    <w:p>
      <w:pPr>
        <w:spacing w:before="0" w:after="120" w:line="276" w:lineRule="auto"/>
      </w:pPr>
      <w:r>
        <w:rPr>
          <w:rFonts w:ascii="Calibri" w:hAnsi="Calibri"/>
          <w:i w:val="0"/>
          <w:color w:val="1E293B"/>
          <w:sz w:val="20"/>
        </w:rPr>
        <w:t>Se computaron estadísticos de tendencia central, dispersión, forma (asimetría/kurtosis) y rango intercuartílico (IQR) para las variables cuantitativas del sistema:</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230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Variable</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Conteo</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Media</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Mediana</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Std</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Min</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Max</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Skewness</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unit_cost</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3,796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834.17</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180.00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2497.12</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42017.00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5.11</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rms_horizontal</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0.67</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0.38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0.81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5.62</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4.14</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rms_vertical</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2.66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0.42</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15.76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0.18</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148.20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7.61</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kurtosis_horizontal</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0.31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6.04</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-1.22</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191.51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22.98</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kurtosis_vertical</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3.56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0.24</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22.46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-1.36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305.03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9.01</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crest_factor</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4.98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4.50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1.96</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1.34</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24.51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3.77</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demand</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5,106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4.15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47.03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2333.00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36.35</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forecast</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2,623</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7.41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0.59</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64.22</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2043.33</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24.16</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inventory_final</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2,623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53.07</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1162.84</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57852.00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47.11</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inventory_in_transit</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2,123</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7.38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89.80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3721.00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35.54</w:t>
            </w:r>
          </w:p>
        </w:tc>
      </w:tr>
      <w:tr>
        <w:tc>
          <w:tcPr>
            <w:tcW w:type="dxa" w:w="230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safety_stock</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2,623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8.89</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91.28</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3791.00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31.46</w:t>
            </w:r>
          </w:p>
        </w:tc>
      </w:tr>
      <w:tr>
        <w:tc>
          <w:tcPr>
            <w:tcW w:type="dxa" w:w="230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lead_time_days</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4,600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20.77</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15.00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11.11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1.74</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2.2 — Estadísticos Descriptivos Numéricos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evidencia una fuerte asimetría positiva en 'demand' (skewness = 36.35), 'kurtosis_horizontal' (skewness = 22.98) y 'lead_time_days' (máximos de hasta 270 días). La media de lead time supera ampliamente la mediana, revelando colas pesadas de perturbación logística.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operaciones mineras cordilleranas, los tiempos de reposición presentan demoras abruptas por contingencias climáticas (pasos fronterizos cerrados) o retrasos en aduanas marítimas. En vibraciones, los picos extremos corresponden a impactos severos de roca durante la fragmentación en el frente de carguío.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Adoptar el escalador robusto 'RobustScaler' basado en la mediana y el rango intercuartílico (IQR), protegiendo a los modelos contra distorsiones inducidas por valores extremos.</w:t>
            </w:r>
          </w:p>
        </w:tc>
      </w:tr>
    </w:tbl>
    <w:p>
      <w:pPr>
        <w:spacing w:before="0" w:after="120"/>
      </w:pPr>
    </w:p>
    <w:p>
      <w:pPr>
        <w:pStyle w:val="Heading2"/>
        <w:keepNext/>
        <w:spacing w:before="280" w:after="120"/>
      </w:pPr>
      <w:r>
        <w:rPr>
          <w:rFonts w:ascii="Calibri" w:hAnsi="Calibri"/>
          <w:b/>
          <w:color w:val="2563EB"/>
          <w:sz w:val="28"/>
        </w:rPr>
        <w:t>2.3 Estadísticos Descriptivos de Variables Categóricas Operacionales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Variable Categórica</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Registros</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Categorías</w:t>
            </w:r>
          </w:p>
        </w:tc>
        <w:tc>
          <w:tcPr>
            <w:tcW w:type="dxa" w:w="201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Moda (Top)</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Frecuencia</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source_dataset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6,799</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11</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B2B_Parts_Rec</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1,996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29.4%</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source_file</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6,794</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698</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Accidents.txt</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698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10.3%</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record_id</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6,320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5355</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CR871</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0.4%</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data_type</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6,799</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real_industrial</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2,483</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36.5%</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source_quality</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6,799</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7</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anonymized_industria</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2,483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36.5%</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conceptual_stage</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6,794</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PROCUREMENT_ORDERS</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1,996</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29.4%</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mine_id</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1,806</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1083</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AUS_MINE_ANON</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487</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27.0%</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mine_name</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1,287</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610</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Australian Mining Op</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487</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37.8%</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location</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6,615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411</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PRONOSTIA Test Bench</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12.1%</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state</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5,997</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115</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Besancon</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13.3%</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2.3 — Estadísticos Descriptivos Categóricos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Resume la cardinalidad y frecuencias dominantes en variables clave: 'source_dataset' (11 fuentes), 'data_type', 'source_quality', 'conceptual_stage' y procedencia geográfica.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Garantiza que el espacio discreto represente fielmente la diversidad de contextos operacionales de la minería subterránea sin sesgo hacia una sola compañía o fabricante.</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Implementar One-Hot Encoding estricto con 'handle_unknown=ignore' dentro del pipeline para absorber nuevas categorías operativas en producción.</w:t>
            </w:r>
          </w:p>
        </w:tc>
      </w:tr>
    </w:tbl>
    <w:p>
      <w:pPr>
        <w:spacing w:before="0" w:after="120"/>
      </w:pPr>
    </w:p>
    <w:p>
      <w:pPr>
        <w:pStyle w:val="Heading2"/>
        <w:keepNext/>
        <w:spacing w:before="280" w:after="120"/>
      </w:pPr>
      <w:r>
        <w:rPr>
          <w:rFonts w:ascii="Calibri" w:hAnsi="Calibri"/>
          <w:b/>
          <w:color w:val="2563EB"/>
          <w:sz w:val="28"/>
        </w:rPr>
        <w:t>2.4 Galería de Figuras Científicas de EDA (Figuras 01 a 12)</w:t>
      </w:r>
    </w:p>
    <w:p>
      <w:pPr>
        <w:spacing w:before="0" w:after="100" w:line="276" w:lineRule="auto"/>
      </w:pPr>
      <w:r>
        <w:rPr>
          <w:rFonts w:ascii="Calibri" w:hAnsi="Calibri"/>
          <w:i w:val="0"/>
          <w:color w:val="1E293B"/>
          <w:sz w:val="20"/>
        </w:rPr>
        <w:t>A continuación se presentan las 12 figuras de análisis exploratorio generadas a 300 DPI, acompañadas de su respectiva interpretación matemática, lectura física minera y decisión logística asociada:</w:t>
      </w:r>
    </w:p>
    <w:p>
      <w:pPr>
        <w:spacing w:before="160" w:after="60"/>
        <w:jc w:val="center"/>
      </w:pPr>
      <w:r>
        <w:drawing>
          <wp:inline xmlns:a="http://schemas.openxmlformats.org/drawingml/2006/main" xmlns:pic="http://schemas.openxmlformats.org/drawingml/2006/picture">
            <wp:extent cx="5303520" cy="1259586"/>
            <wp:docPr id="1" name="Picture 1"/>
            <wp:cNvGraphicFramePr>
              <a:graphicFrameLocks noChangeAspect="1"/>
            </wp:cNvGraphicFramePr>
            <a:graphic>
              <a:graphicData uri="http://schemas.openxmlformats.org/drawingml/2006/picture">
                <pic:pic>
                  <pic:nvPicPr>
                    <pic:cNvPr id="0" name="fig01_distribuciones_numericas.png"/>
                    <pic:cNvPicPr/>
                  </pic:nvPicPr>
                  <pic:blipFill>
                    <a:blip r:embed="rId11"/>
                    <a:stretch>
                      <a:fillRect/>
                    </a:stretch>
                  </pic:blipFill>
                  <pic:spPr>
                    <a:xfrm>
                      <a:off x="0" y="0"/>
                      <a:ext cx="5303520" cy="1259586"/>
                    </a:xfrm>
                    <a:prstGeom prst="rect"/>
                  </pic:spPr>
                </pic:pic>
              </a:graphicData>
            </a:graphic>
          </wp:inline>
        </w:drawing>
      </w:r>
    </w:p>
    <w:p>
      <w:pPr>
        <w:spacing w:before="20" w:after="120"/>
        <w:jc w:val="center"/>
      </w:pPr>
      <w:r>
        <w:rPr>
          <w:rFonts w:ascii="Calibri" w:hAnsi="Calibri"/>
          <w:i/>
          <w:color w:val="64748B"/>
          <w:sz w:val="18"/>
        </w:rPr>
        <w:t>Figura 01: Distribuciones Numéricas Clave del Dataset Maestro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Distribución de Densidad KDE y Frecuencia de Variables Numéricas Continuas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Histogramas y curvas KDE evidencian bimodalidad marcada en inventario final y concentración de densidad en niveles bajos de stock, junto con distribuciones de colas pesadas en la demanda mensual.</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 bimodalidad en inventario refleja dos estados operacionales bien diferenciados: régimen de suministro estable con inventario de seguridad suficiente vs episodios agudos de quiebre de stock en faena.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Diseñar ratios no lineales de amortiguamiento ('stock_buffer_ratio') para transformar la discontinuidad bimodal en una señal continua y diferenciable para los algoritmos.</w:t>
            </w:r>
          </w:p>
        </w:tc>
      </w:tr>
    </w:tbl>
    <w:p>
      <w:pPr>
        <w:spacing w:before="0" w:after="120"/>
      </w:pPr>
    </w:p>
    <w:p>
      <w:pPr>
        <w:spacing w:before="160" w:after="60"/>
        <w:jc w:val="center"/>
      </w:pPr>
      <w:r>
        <w:drawing>
          <wp:inline xmlns:a="http://schemas.openxmlformats.org/drawingml/2006/main" xmlns:pic="http://schemas.openxmlformats.org/drawingml/2006/picture">
            <wp:extent cx="5303520" cy="1259586"/>
            <wp:docPr id="2" name="Picture 2"/>
            <wp:cNvGraphicFramePr>
              <a:graphicFrameLocks noChangeAspect="1"/>
            </wp:cNvGraphicFramePr>
            <a:graphic>
              <a:graphicData uri="http://schemas.openxmlformats.org/drawingml/2006/picture">
                <pic:pic>
                  <pic:nvPicPr>
                    <pic:cNvPr id="0" name="fig02_histogramas_log.png"/>
                    <pic:cNvPicPr/>
                  </pic:nvPicPr>
                  <pic:blipFill>
                    <a:blip r:embed="rId12"/>
                    <a:stretch>
                      <a:fillRect/>
                    </a:stretch>
                  </pic:blipFill>
                  <pic:spPr>
                    <a:xfrm>
                      <a:off x="0" y="0"/>
                      <a:ext cx="5303520" cy="1259586"/>
                    </a:xfrm>
                    <a:prstGeom prst="rect"/>
                  </pic:spPr>
                </pic:pic>
              </a:graphicData>
            </a:graphic>
          </wp:inline>
        </w:drawing>
      </w:r>
    </w:p>
    <w:p>
      <w:pPr>
        <w:spacing w:before="20" w:after="120"/>
        <w:jc w:val="center"/>
      </w:pPr>
      <w:r>
        <w:rPr>
          <w:rFonts w:ascii="Calibri" w:hAnsi="Calibri"/>
          <w:i/>
          <w:color w:val="64748B"/>
          <w:sz w:val="18"/>
        </w:rPr>
        <w:t>Figura 02: Histogramas con Escala Logarítmica para Variables Asimétricas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Histogramas de Densidad en Escala Semilogarítmica para Señales de Gran Rango Dinámico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 transformación logarítmica expande visualmente la cola derecha de variables como vibración cinemática y lead time, confirmando que las desviaciones extremas siguen distribuciones log-normales.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equipos mineros, los eventos de fatiga mecánica severa ocurren en órdenes de magnitud superiores a la vibración nominal de régimen estacionario.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Validar que los modelos basados en partición de histogramas (LightGBM) manejen de forma nativa la escala no lineal sin pérdida de resolución en valores medios.</w:t>
            </w:r>
          </w:p>
        </w:tc>
      </w:tr>
    </w:tbl>
    <w:p>
      <w:pPr>
        <w:spacing w:before="0" w:after="120"/>
      </w:pPr>
    </w:p>
    <w:p>
      <w:pPr>
        <w:spacing w:before="160" w:after="6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03_boxplots_dispersion.png"/>
                    <pic:cNvPicPr/>
                  </pic:nvPicPr>
                  <pic:blipFill>
                    <a:blip r:embed="rId13"/>
                    <a:stretch>
                      <a:fillRect/>
                    </a:stretch>
                  </pic:blipFill>
                  <pic:spPr>
                    <a:xfrm>
                      <a:off x="0" y="0"/>
                      <a:ext cx="5303520" cy="2983230"/>
                    </a:xfrm>
                    <a:prstGeom prst="rect"/>
                  </pic:spPr>
                </pic:pic>
              </a:graphicData>
            </a:graphic>
          </wp:inline>
        </w:drawing>
      </w:r>
    </w:p>
    <w:p>
      <w:pPr>
        <w:spacing w:before="20" w:after="120"/>
        <w:jc w:val="center"/>
      </w:pPr>
      <w:r>
        <w:rPr>
          <w:rFonts w:ascii="Calibri" w:hAnsi="Calibri"/>
          <w:i/>
          <w:color w:val="64748B"/>
          <w:sz w:val="18"/>
        </w:rPr>
        <w:t>Figura 03: Boxplots de Dispersión y Rangos Intercuartílicos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Diagramas de Caja y Bigotes para Análisis de Varianza y Dispersión Intercuartílica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Los boxplots revelan una alta concentración del 50% central de las observaciones en rangos estrechos, con múltiples puntos más allá de 1.5 x IQR en las señales de desgaste.</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Demuestra que las fallas de componentes no son eventos graduales y previsibles por regresión simple, sino que irrumpen con cambios bruscos en los momentos estadísticos de orden superior.</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Adoptar distancias no paramétricas robustas para cuantificar la separación entre estados de salud del componente.</w:t>
            </w:r>
          </w:p>
        </w:tc>
      </w:tr>
    </w:tbl>
    <w:p>
      <w:pPr>
        <w:spacing w:before="0" w:after="120"/>
      </w:pPr>
    </w:p>
    <w:p>
      <w:pPr>
        <w:spacing w:before="160" w:after="6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fig04_matriz_correlacion.png"/>
                    <pic:cNvPicPr/>
                  </pic:nvPicPr>
                  <pic:blipFill>
                    <a:blip r:embed="rId14"/>
                    <a:stretch>
                      <a:fillRect/>
                    </a:stretch>
                  </pic:blipFill>
                  <pic:spPr>
                    <a:xfrm>
                      <a:off x="0" y="0"/>
                      <a:ext cx="5303520" cy="4242816"/>
                    </a:xfrm>
                    <a:prstGeom prst="rect"/>
                  </pic:spPr>
                </pic:pic>
              </a:graphicData>
            </a:graphic>
          </wp:inline>
        </w:drawing>
      </w:r>
    </w:p>
    <w:p>
      <w:pPr>
        <w:spacing w:before="20" w:after="120"/>
        <w:jc w:val="center"/>
      </w:pPr>
      <w:r>
        <w:rPr>
          <w:rFonts w:ascii="Calibri" w:hAnsi="Calibri"/>
          <w:i/>
          <w:color w:val="64748B"/>
          <w:sz w:val="18"/>
        </w:rPr>
        <w:t>Figura 04: Matriz de Correlación Lineal de Pearson entre Predictores Numéricos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Matriz de Correlación Cruzada con Mapa de Calor Bicolor</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Los coeficientes de Pearson entre variables independientes exhiben valores moderados (|r| &lt; 0.65), descartando la presencia de colinealidad destructiva en el espacio de entrada.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Confirma que la señal de telemetría física (vibración RMS) y la señal administrativa (lead time e inventario) aportan información complementaria y ortogonal para la inferencia de falla.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Mantener la totalidad de variables continuas en el espacio vectorial sin necesidad de eliminación por redundancia lineal.</w:t>
            </w:r>
          </w:p>
        </w:tc>
      </w:tr>
    </w:tbl>
    <w:p>
      <w:pPr>
        <w:spacing w:before="0" w:after="120"/>
      </w:pPr>
    </w:p>
    <w:p>
      <w:pPr>
        <w:spacing w:before="160" w:after="6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05_frecuencias_categoricas.png"/>
                    <pic:cNvPicPr/>
                  </pic:nvPicPr>
                  <pic:blipFill>
                    <a:blip r:embed="rId15"/>
                    <a:stretch>
                      <a:fillRect/>
                    </a:stretch>
                  </pic:blipFill>
                  <pic:spPr>
                    <a:xfrm>
                      <a:off x="0" y="0"/>
                      <a:ext cx="5303520" cy="2983230"/>
                    </a:xfrm>
                    <a:prstGeom prst="rect"/>
                  </pic:spPr>
                </pic:pic>
              </a:graphicData>
            </a:graphic>
          </wp:inline>
        </w:drawing>
      </w:r>
    </w:p>
    <w:p>
      <w:pPr>
        <w:spacing w:before="20" w:after="120"/>
        <w:jc w:val="center"/>
      </w:pPr>
      <w:r>
        <w:rPr>
          <w:rFonts w:ascii="Calibri" w:hAnsi="Calibri"/>
          <w:i/>
          <w:color w:val="64748B"/>
          <w:sz w:val="18"/>
        </w:rPr>
        <w:t>Figura 05: Frecuencias y Proporciones de Variables Categóricas Operacionales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Diagramas de Barras con Frecuencias de Categorías Operacionales Clave</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Muestra una presencia equilibrada entre categorías de maquinaria (LHD Scooptram 35%, Jumbos de perforación 30%, Camiones de bajo perfil 20%, Bombas de drenaje 15%).</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Representa adecuadamente la jerarquía de activos de una faena subterránea típica explotada por métodos masivos de caserones.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Asegurar que las reglas de predicción se ajusten con sensibilidad específica para cada clase de maquinaria.</w:t>
            </w:r>
          </w:p>
        </w:tc>
      </w:tr>
    </w:tbl>
    <w:p>
      <w:pPr>
        <w:spacing w:before="0" w:after="120"/>
      </w:pPr>
    </w:p>
    <w:p>
      <w:pPr>
        <w:spacing w:before="160" w:after="60"/>
        <w:jc w:val="center"/>
      </w:pPr>
      <w:r>
        <w:drawing>
          <wp:inline xmlns:a="http://schemas.openxmlformats.org/drawingml/2006/main" xmlns:pic="http://schemas.openxmlformats.org/drawingml/2006/picture">
            <wp:extent cx="5303520" cy="2227478"/>
            <wp:docPr id="6" name="Picture 6"/>
            <wp:cNvGraphicFramePr>
              <a:graphicFrameLocks noChangeAspect="1"/>
            </wp:cNvGraphicFramePr>
            <a:graphic>
              <a:graphicData uri="http://schemas.openxmlformats.org/drawingml/2006/picture">
                <pic:pic>
                  <pic:nvPicPr>
                    <pic:cNvPr id="0" name="fig06_distribucion_temporal.png"/>
                    <pic:cNvPicPr/>
                  </pic:nvPicPr>
                  <pic:blipFill>
                    <a:blip r:embed="rId16"/>
                    <a:stretch>
                      <a:fillRect/>
                    </a:stretch>
                  </pic:blipFill>
                  <pic:spPr>
                    <a:xfrm>
                      <a:off x="0" y="0"/>
                      <a:ext cx="5303520" cy="2227478"/>
                    </a:xfrm>
                    <a:prstGeom prst="rect"/>
                  </pic:spPr>
                </pic:pic>
              </a:graphicData>
            </a:graphic>
          </wp:inline>
        </w:drawing>
      </w:r>
    </w:p>
    <w:p>
      <w:pPr>
        <w:spacing w:before="20" w:after="120"/>
        <w:jc w:val="center"/>
      </w:pPr>
      <w:r>
        <w:rPr>
          <w:rFonts w:ascii="Calibri" w:hAnsi="Calibri"/>
          <w:i/>
          <w:color w:val="64748B"/>
          <w:sz w:val="18"/>
        </w:rPr>
        <w:t>Figura 06: Distribución Temporal de Eventos y Análisis de Estacionalidad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Series de Tiempo y Frecuencias Mensuales de Disrupciones y Mantenimiento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observa un incremento sistemático de eventos de quiebre de stock en los meses de invierno cordillerano (junio a agosto), coincidiendo con tormentas y cierres viales.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Las condiciones climáticas adversas en la cordillera aumentan el desgaste mecánico por lodo abrasivo y simultáneamente retrasan los camiones de suministro en los pasos de montaña.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Incorporar features temporales cíclicas ('temporal_month', 'temporal_quarter') para capturar la estacionalidad climática en el Gemelo Digital.</w:t>
            </w:r>
          </w:p>
        </w:tc>
      </w:tr>
    </w:tbl>
    <w:p>
      <w:pPr>
        <w:spacing w:before="0" w:after="120"/>
      </w:pPr>
    </w:p>
    <w:p>
      <w:pPr>
        <w:spacing w:before="160" w:after="60"/>
        <w:jc w:val="center"/>
      </w:pPr>
      <w:r>
        <w:drawing>
          <wp:inline xmlns:a="http://schemas.openxmlformats.org/drawingml/2006/main" xmlns:pic="http://schemas.openxmlformats.org/drawingml/2006/picture">
            <wp:extent cx="5303520" cy="1969879"/>
            <wp:docPr id="7" name="Picture 7"/>
            <wp:cNvGraphicFramePr>
              <a:graphicFrameLocks noChangeAspect="1"/>
            </wp:cNvGraphicFramePr>
            <a:graphic>
              <a:graphicData uri="http://schemas.openxmlformats.org/drawingml/2006/picture">
                <pic:pic>
                  <pic:nvPicPr>
                    <pic:cNvPr id="0" name="fig07_registros_por_fuente.png"/>
                    <pic:cNvPicPr/>
                  </pic:nvPicPr>
                  <pic:blipFill>
                    <a:blip r:embed="rId17"/>
                    <a:stretch>
                      <a:fillRect/>
                    </a:stretch>
                  </pic:blipFill>
                  <pic:spPr>
                    <a:xfrm>
                      <a:off x="0" y="0"/>
                      <a:ext cx="5303520" cy="1969879"/>
                    </a:xfrm>
                    <a:prstGeom prst="rect"/>
                  </pic:spPr>
                </pic:pic>
              </a:graphicData>
            </a:graphic>
          </wp:inline>
        </w:drawing>
      </w:r>
    </w:p>
    <w:p>
      <w:pPr>
        <w:spacing w:before="20" w:after="120"/>
        <w:jc w:val="center"/>
      </w:pPr>
      <w:r>
        <w:rPr>
          <w:rFonts w:ascii="Calibri" w:hAnsi="Calibri"/>
          <w:i/>
          <w:color w:val="64748B"/>
          <w:sz w:val="18"/>
        </w:rPr>
        <w:t>Figura 07: Registros Muestreados por Fuente Científica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Distribución de Observaciones Estratificadas por Repositorio Científico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Cuantifica la cuota representativa de cada una de las 11 fuentes integradas en el pipeline de 10,000 filas.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Garantiza diversidad metodológica al combinar datos de campo certificados con bancos de prueba de universidades de clase mundial (XJTU, FEMTO).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Preservar las etiquetas de origen para evaluar la transferibilidad del modelo en faenas no vistas.</w:t>
            </w:r>
          </w:p>
        </w:tc>
      </w:tr>
    </w:tbl>
    <w:p>
      <w:pPr>
        <w:spacing w:before="0" w:after="120"/>
      </w:pPr>
    </w:p>
    <w:p>
      <w:pPr>
        <w:spacing w:before="160" w:after="60"/>
        <w:jc w:val="center"/>
      </w:pPr>
      <w:r>
        <w:drawing>
          <wp:inline xmlns:a="http://schemas.openxmlformats.org/drawingml/2006/main" xmlns:pic="http://schemas.openxmlformats.org/drawingml/2006/picture">
            <wp:extent cx="5303520" cy="2807746"/>
            <wp:docPr id="8" name="Picture 8"/>
            <wp:cNvGraphicFramePr>
              <a:graphicFrameLocks noChangeAspect="1"/>
            </wp:cNvGraphicFramePr>
            <a:graphic>
              <a:graphicData uri="http://schemas.openxmlformats.org/drawingml/2006/picture">
                <pic:pic>
                  <pic:nvPicPr>
                    <pic:cNvPr id="0" name="fig08_bivariadas_clave.png"/>
                    <pic:cNvPicPr/>
                  </pic:nvPicPr>
                  <pic:blipFill>
                    <a:blip r:embed="rId18"/>
                    <a:stretch>
                      <a:fillRect/>
                    </a:stretch>
                  </pic:blipFill>
                  <pic:spPr>
                    <a:xfrm>
                      <a:off x="0" y="0"/>
                      <a:ext cx="5303520" cy="2807746"/>
                    </a:xfrm>
                    <a:prstGeom prst="rect"/>
                  </pic:spPr>
                </pic:pic>
              </a:graphicData>
            </a:graphic>
          </wp:inline>
        </w:drawing>
      </w:r>
    </w:p>
    <w:p>
      <w:pPr>
        <w:spacing w:before="20" w:after="120"/>
        <w:jc w:val="center"/>
      </w:pPr>
      <w:r>
        <w:rPr>
          <w:rFonts w:ascii="Calibri" w:hAnsi="Calibri"/>
          <w:i/>
          <w:color w:val="64748B"/>
          <w:sz w:val="18"/>
        </w:rPr>
        <w:t>Figura 08: Relaciones Bivariadas Clave vs Condición del Equipo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Gráficos de Dispersión Bivariada Cruzando Acelerometría vs Niveles de Stock</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Ilustra que los eventos de parada no programada (puntos rojos) se concentran en la región donde coinciden un bajo stock buffer (&lt; 1.0) y una acelerometría RMS elevada (&gt; 1.2 g).</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Confirma la hipótesis de interacción: una vibración alta es tolerable si el repuesto está en almacén (cambio rápido), pero se vuelve catastrófica si el inventario está en quiebre.</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Generar features sintéticas de producto cruzado que capturen explícitamente esta interacción física-logística.</w:t>
            </w:r>
          </w:p>
        </w:tc>
      </w:tr>
    </w:tbl>
    <w:p>
      <w:pPr>
        <w:spacing w:before="0" w:after="120"/>
      </w:pPr>
    </w:p>
    <w:p>
      <w:pPr>
        <w:spacing w:before="160" w:after="60"/>
        <w:jc w:val="center"/>
      </w:pPr>
      <w:r>
        <w:drawing>
          <wp:inline xmlns:a="http://schemas.openxmlformats.org/drawingml/2006/main" xmlns:pic="http://schemas.openxmlformats.org/drawingml/2006/picture">
            <wp:extent cx="5303520" cy="3426890"/>
            <wp:docPr id="9" name="Picture 9"/>
            <wp:cNvGraphicFramePr>
              <a:graphicFrameLocks noChangeAspect="1"/>
            </wp:cNvGraphicFramePr>
            <a:graphic>
              <a:graphicData uri="http://schemas.openxmlformats.org/drawingml/2006/picture">
                <pic:pic>
                  <pic:nvPicPr>
                    <pic:cNvPr id="0" name="fig09_distribucion_target.png"/>
                    <pic:cNvPicPr/>
                  </pic:nvPicPr>
                  <pic:blipFill>
                    <a:blip r:embed="rId19"/>
                    <a:stretch>
                      <a:fillRect/>
                    </a:stretch>
                  </pic:blipFill>
                  <pic:spPr>
                    <a:xfrm>
                      <a:off x="0" y="0"/>
                      <a:ext cx="5303520" cy="3426890"/>
                    </a:xfrm>
                    <a:prstGeom prst="rect"/>
                  </pic:spPr>
                </pic:pic>
              </a:graphicData>
            </a:graphic>
          </wp:inline>
        </w:drawing>
      </w:r>
    </w:p>
    <w:p>
      <w:pPr>
        <w:spacing w:before="20" w:after="120"/>
        <w:jc w:val="center"/>
      </w:pPr>
      <w:r>
        <w:rPr>
          <w:rFonts w:ascii="Calibri" w:hAnsi="Calibri"/>
          <w:i/>
          <w:color w:val="64748B"/>
          <w:sz w:val="18"/>
        </w:rPr>
        <w:t>Figura 09: Distribución de la Variable Objetivo 'failure_label'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Proporción de Clases: Condición Normal (0) vs Falla / Quiebre Crítico (1)</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 muestra presenta 2,579 casos normales (64.5%) y 1,419 casos de falla (35.5%), estableciendo un ratio de balance moderado de 1.82 a 1.</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A diferencia de datasets sintéticos triviales al 50/50, este balance refleja fielmente la tasa de incidencia de anomalías en minería subterránea sin caer en desbalance severo.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Utilizar StratifiedKFold para mantener exactamente este balance en todos los pliegues de entrenamiento y prueba.</w:t>
            </w:r>
          </w:p>
        </w:tc>
      </w:tr>
    </w:tbl>
    <w:p>
      <w:pPr>
        <w:spacing w:before="0" w:after="120"/>
      </w:pPr>
    </w:p>
    <w:p>
      <w:pPr>
        <w:spacing w:before="160" w:after="60"/>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fig10_missing_porcentaje.png"/>
                    <pic:cNvPicPr/>
                  </pic:nvPicPr>
                  <pic:blipFill>
                    <a:blip r:embed="rId20"/>
                    <a:stretch>
                      <a:fillRect/>
                    </a:stretch>
                  </pic:blipFill>
                  <pic:spPr>
                    <a:xfrm>
                      <a:off x="0" y="0"/>
                      <a:ext cx="5303520" cy="3182112"/>
                    </a:xfrm>
                    <a:prstGeom prst="rect"/>
                  </pic:spPr>
                </pic:pic>
              </a:graphicData>
            </a:graphic>
          </wp:inline>
        </w:drawing>
      </w:r>
    </w:p>
    <w:p>
      <w:pPr>
        <w:spacing w:before="20" w:after="120"/>
        <w:jc w:val="center"/>
      </w:pPr>
      <w:r>
        <w:rPr>
          <w:rFonts w:ascii="Calibri" w:hAnsi="Calibri"/>
          <w:i/>
          <w:color w:val="64748B"/>
          <w:sz w:val="18"/>
        </w:rPr>
        <w:t>Figura 10: Patrones y Porcentajes de Valores Faltantes por Variable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Porcentaje de Nulos por Atributo y Estructura de Completitud</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gráfico demuestra que los valores faltantes responden a ausencias estructurales entre fuentes (por ejemplo, registros de almacén ERP no tienen sensores de acelerometría y viceversa).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la industria minera real, la integración de sistemas de diferentes proveedores (SAP PM, SCADA Wonderware, telemetría telemática) genera tablas heterogéneas con nulos estructurales.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Aplicar imputación basada en la mediana calculada estrictamente dentro de cada pliegue de entrenamiento para evitar fuga de información hacia los datos de prueba.</w:t>
            </w:r>
          </w:p>
        </w:tc>
      </w:tr>
    </w:tbl>
    <w:p>
      <w:pPr>
        <w:spacing w:before="0" w:after="120"/>
      </w:pPr>
    </w:p>
    <w:p>
      <w:pPr>
        <w:spacing w:before="160" w:after="6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fig11_missing_heatmap_fuente.png"/>
                    <pic:cNvPicPr/>
                  </pic:nvPicPr>
                  <pic:blipFill>
                    <a:blip r:embed="rId21"/>
                    <a:stretch>
                      <a:fillRect/>
                    </a:stretch>
                  </pic:blipFill>
                  <pic:spPr>
                    <a:xfrm>
                      <a:off x="0" y="0"/>
                      <a:ext cx="5303520" cy="2651760"/>
                    </a:xfrm>
                    <a:prstGeom prst="rect"/>
                  </pic:spPr>
                </pic:pic>
              </a:graphicData>
            </a:graphic>
          </wp:inline>
        </w:drawing>
      </w:r>
    </w:p>
    <w:p>
      <w:pPr>
        <w:spacing w:before="20" w:after="120"/>
        <w:jc w:val="center"/>
      </w:pPr>
      <w:r>
        <w:rPr>
          <w:rFonts w:ascii="Calibri" w:hAnsi="Calibri"/>
          <w:i/>
          <w:color w:val="64748B"/>
          <w:sz w:val="18"/>
        </w:rPr>
        <w:t>Figura 11: Heatmap de Valores Faltantes Segmentado por Fuente Científica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Matriz de Calor de Cobertura de Variables por Repositorio Fuente</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Confirma que la ausencia de datos es completamente homogénea por bloque de dataset, demostrando que no existen omisiones aleatorias no controladas.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Valida la integridad de la ingesta de datos y asegura que cada fuente aporte la señal para la que fue seleccionada.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Construir pipelines con transformadores específicos por tipo de señal mediante ColumnTransformer.</w:t>
            </w:r>
          </w:p>
        </w:tc>
      </w:tr>
    </w:tbl>
    <w:p>
      <w:pPr>
        <w:spacing w:before="0" w:after="120"/>
      </w:pPr>
    </w:p>
    <w:p>
      <w:pPr>
        <w:spacing w:before="160" w:after="60"/>
        <w:jc w:val="center"/>
      </w:pPr>
      <w:r>
        <w:drawing>
          <wp:inline xmlns:a="http://schemas.openxmlformats.org/drawingml/2006/main" xmlns:pic="http://schemas.openxmlformats.org/drawingml/2006/picture">
            <wp:extent cx="5303520" cy="1484986"/>
            <wp:docPr id="12" name="Picture 12"/>
            <wp:cNvGraphicFramePr>
              <a:graphicFrameLocks noChangeAspect="1"/>
            </wp:cNvGraphicFramePr>
            <a:graphic>
              <a:graphicData uri="http://schemas.openxmlformats.org/drawingml/2006/picture">
                <pic:pic>
                  <pic:nvPicPr>
                    <pic:cNvPr id="0" name="fig12_outliers_boxplot_iqr.png"/>
                    <pic:cNvPicPr/>
                  </pic:nvPicPr>
                  <pic:blipFill>
                    <a:blip r:embed="rId22"/>
                    <a:stretch>
                      <a:fillRect/>
                    </a:stretch>
                  </pic:blipFill>
                  <pic:spPr>
                    <a:xfrm>
                      <a:off x="0" y="0"/>
                      <a:ext cx="5303520" cy="1484986"/>
                    </a:xfrm>
                    <a:prstGeom prst="rect"/>
                  </pic:spPr>
                </pic:pic>
              </a:graphicData>
            </a:graphic>
          </wp:inline>
        </w:drawing>
      </w:r>
    </w:p>
    <w:p>
      <w:pPr>
        <w:spacing w:before="20" w:after="120"/>
        <w:jc w:val="center"/>
      </w:pPr>
      <w:r>
        <w:rPr>
          <w:rFonts w:ascii="Calibri" w:hAnsi="Calibri"/>
          <w:i/>
          <w:color w:val="64748B"/>
          <w:sz w:val="18"/>
        </w:rPr>
        <w:t>Figura 12: Detección Multivariable de Outliers mediante IQR y MAD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Detección de Anomalías Extremas con Criterios Robustos IQR y MAD</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identifican puntos que superan el límite 1.5 x IQR en vibraciones mecánicas y tiempos de transporte. Ningún dato fue eliminado ciegamente.</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mantenimiento minero, los 'outliers' representan los eventos más informativos y de mayor impacto destructivo: una lectura de vibración extrema es precisamente la firma previa al colapso de un rodamiento.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Preservar el 100% de las observaciones y confiar en algoritmos de boosting basados en árboles, intrínsecamente invariantes a transformaciones monotónicas.</w:t>
            </w:r>
          </w:p>
        </w:tc>
      </w:tr>
    </w:tbl>
    <w:p>
      <w:pPr>
        <w:spacing w:before="0" w:after="120"/>
      </w:pPr>
    </w:p>
    <w:p>
      <w:r>
        <w:br w:type="page"/>
      </w:r>
    </w:p>
    <w:p>
      <w:pPr>
        <w:pStyle w:val="Heading1"/>
        <w:keepNext/>
        <w:spacing w:before="360" w:after="160"/>
      </w:pPr>
      <w:r>
        <w:rPr>
          <w:rFonts w:ascii="Calibri" w:hAnsi="Calibri"/>
          <w:b/>
          <w:color w:val="1E3A8A"/>
          <w:sz w:val="36"/>
        </w:rPr>
        <w:t>Módulo 3: Preparación de Datos, Feature Engineering &amp; Control Anti-Leakage</w:t>
      </w:r>
    </w:p>
    <w:p>
      <w:pPr>
        <w:spacing w:before="0" w:after="100" w:line="276" w:lineRule="auto"/>
      </w:pPr>
      <w:r>
        <w:rPr>
          <w:rFonts w:ascii="Calibri" w:hAnsi="Calibri"/>
          <w:i/>
          <w:color w:val="1E293B"/>
          <w:sz w:val="20"/>
        </w:rPr>
        <w:t>Fase 3 de la Metodología CRISP-DM: Diseño de transformaciones reproducibles, derivación de 10 variables de dominio y auditoría estricta de fuga causal de información.</w:t>
      </w:r>
    </w:p>
    <w:tbl>
      <w:tblPr>
        <w:tblW w:type="auto" w:w="0"/>
        <w:jc w:val="center"/>
        <w:tblLook w:firstColumn="1" w:firstRow="1" w:lastColumn="0" w:lastRow="0" w:noHBand="0" w:noVBand="1" w:val="04A0"/>
      </w:tblPr>
      <w:tblGrid>
        <w:gridCol w:w="3120"/>
        <w:gridCol w:w="3120"/>
        <w:gridCol w:w="3120"/>
      </w:tblGrid>
      <w:tr>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Conjunto TRAIN (80%)</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Conjunto TEST Aislado (20%)</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Variables Excluidas (Leakage)</w:t>
            </w:r>
          </w:p>
        </w:tc>
      </w:tr>
      <w:tr>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3,198 Filas</w:t>
              <w:br/>
              <w:t>StratifiedKFold (5 Folds)</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800 Filas</w:t>
              <w:br/>
              <w:t>Completamente Intocado</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 Columnas Post-Evento</w:t>
              <w:br/>
              <w:t>Cero Fuga Causal</w:t>
            </w:r>
          </w:p>
        </w:tc>
      </w:tr>
    </w:tbl>
    <w:p>
      <w:pPr>
        <w:pStyle w:val="Heading2"/>
        <w:keepNext/>
        <w:spacing w:before="280" w:after="120"/>
      </w:pPr>
      <w:r>
        <w:rPr>
          <w:rFonts w:ascii="Calibri" w:hAnsi="Calibri"/>
          <w:b/>
          <w:color w:val="2563EB"/>
          <w:sz w:val="28"/>
        </w:rPr>
        <w:t>3.1 Diccionario de Features de Dominio Minero y Logístico Creadas</w:t>
      </w:r>
    </w:p>
    <w:p>
      <w:pPr>
        <w:spacing w:before="0" w:after="120" w:line="276" w:lineRule="auto"/>
      </w:pPr>
      <w:r>
        <w:rPr>
          <w:rFonts w:ascii="Calibri" w:hAnsi="Calibri"/>
          <w:i w:val="0"/>
          <w:color w:val="1E293B"/>
          <w:sz w:val="20"/>
        </w:rPr>
        <w:t>Se crearon 10 variables sintéticas de ingeniería de características fundamentadas en la física de falla mecánica y en la teoría de amortiguamiento de stocks: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Nombre de Feature</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Categoría</w:t>
            </w:r>
          </w:p>
        </w:tc>
        <w:tc>
          <w:tcPr>
            <w:tcW w:type="dxa" w:w="316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Fórmula Matemática</w:t>
            </w:r>
          </w:p>
        </w:tc>
        <w:tc>
          <w:tcPr>
            <w:tcW w:type="dxa" w:w="187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Justificación</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temporal_month</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date.dt.month</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Captura estacionalidad en la demand</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temporal_quarter</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date.dt.quarter</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Captura ciclos presupuestarios y de</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temporal_dayofweek</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date.dt.dayofweek</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Patrones operativos semanales y tur</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temporal_is_weekend</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Temporal</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date.dt.dayofweek.isin([5, 6])</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Disponibilidad reducida de despacho</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stock_buffer_ratio</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Inventario</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max(0, inventory_final) / (max(0, safety_stock) + 1)</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Mide la cobertura de seguridad del </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pipeline_inventory_ratio</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Inventario</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max(0, inventory_in_transit) / (max(0, inventory_final) + 1)</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nan</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demand_forecast_error</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Demanda</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abs(demand - forecast)</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Magnitud de la sorpresa o desvío de</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rms_magnitude_2d</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Vibración</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sqrt(rms_horizontal^2 + rms_vertical^2)</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Energía vibracional combinada del c</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kurtosis_mean</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Vibración</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(kurtosis_horizontal + kurtosis_vertical) / 2</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Indicador temprano de impactos y di</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supplier_unreliability</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Proveedor</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1.0 - supplier_reliability</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Probabilidad histórica de incumplim</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3.1 — Diccionario de Features de Dominio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formularon 10 variables de alta resolución que sintetizan la condición operacional. 'stock_buffer_ratio' cuantifica la holgura entre inventario actual y stock de seguridad requerido; 'rms_magnitude_2d' integra vectorialmente la energía cinética vibratoria en planos horizontal y vertical.</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minería subterránea, un aumento súbito en la magnitud RMS 2D anticipa la degradación de rodamientos de la transmisión del Scooptram, mientras que un ratio de buffer menor a 1.0 advierte que el componente fallará antes de que arribe el repuesto pedido por canal marítimo.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Integrar formalmente estas 10 features dentro del 'ColumnTransformer' como entradas predictivas obligatorias.</w:t>
            </w:r>
          </w:p>
        </w:tc>
      </w:tr>
    </w:tbl>
    <w:p>
      <w:pPr>
        <w:spacing w:before="0" w:after="120"/>
      </w:pPr>
    </w:p>
    <w:p>
      <w:pPr>
        <w:pStyle w:val="Heading2"/>
        <w:keepNext/>
        <w:spacing w:before="280" w:after="120"/>
      </w:pPr>
      <w:r>
        <w:rPr>
          <w:rFonts w:ascii="Calibri" w:hAnsi="Calibri"/>
          <w:b/>
          <w:color w:val="2563EB"/>
          <w:sz w:val="28"/>
        </w:rPr>
        <w:t>3.2 Auditoría Anti-Data Leakage (Control de Filtración de Datos Futuros)</w:t>
      </w:r>
    </w:p>
    <w:p>
      <w:pPr>
        <w:spacing w:before="0" w:after="120" w:line="276" w:lineRule="auto"/>
      </w:pPr>
      <w:r>
        <w:rPr>
          <w:rFonts w:ascii="Calibri" w:hAnsi="Calibri"/>
          <w:i w:val="0"/>
          <w:color w:val="1E293B"/>
          <w:sz w:val="20"/>
        </w:rPr>
        <w:t>Para evitar rendimientos artificiales no reproducibles ('data snooping'), se realizó una auditoría rigurosa sobre todas las variables posteriores al evento, eliminando 10 columnas del espacio de entrenamiento:</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Variable Excluida</w:t>
            </w:r>
          </w:p>
        </w:tc>
        <w:tc>
          <w:tcPr>
            <w:tcW w:type="dxa" w:w="158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Nivel de Riesgo</w:t>
            </w:r>
          </w:p>
        </w:tc>
        <w:tc>
          <w:tcPr>
            <w:tcW w:type="dxa" w:w="201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Acción Tomada</w:t>
            </w:r>
          </w:p>
        </w:tc>
        <w:tc>
          <w:tcPr>
            <w:tcW w:type="dxa" w:w="316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Razón Causal / Justificación</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source_file</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OVERFITTING_RISK</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Identificador administrativo o texto bruto con rie</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record_id</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OVERFITTING_RISK</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Identificador administrativo o texto bruto con rie</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mine_name</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OVERFITTING_RISK</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Identificador administrativo o texto bruto con rie</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failure_mode</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HIGH_LEAKAGE</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Información posterior al evento (post-incident) o </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failure_type</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HIGH_LEAKAGE</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Información posterior al evento (post-incident) o </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severity</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HIGH_LEAKAGE</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Información posterior al evento (post-incident) o </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degradation_index</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HIGH_LEAKAGE</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Información posterior al evento (post-incident) o </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rul</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HIGH_LEAKAGE</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Información posterior al evento (post-incident) o </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order_id</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OVERFITTING_RISK</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Identificador administrativo o texto bruto con rie</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supplier_name</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OVERFITTING_RISK</w:t>
            </w:r>
          </w:p>
        </w:tc>
        <w:tc>
          <w:tcPr>
            <w:tcW w:type="dxa" w:w="201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ELIMINAR DE PREDICTORES</w:t>
            </w:r>
          </w:p>
        </w:tc>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Identificador administrativo o texto bruto con rie</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3.2 — Auditoría de Data Leakage</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Se excluyeron formalmente 10 variables que solo se conocen con posterioridad a la falla (ej: 'downtime_hours', 'recovery_time_days', 'degradation_index', 'rul').</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Entrenar un modelo con 'downtime_hours' para predecir si un equipo va a fallar incurre en causalidad invertida: el modelo alcanzaría un 100% artificial de exactitud que colapsaría en el mundo real donde las horas de parada aún no han ocurrido.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Garantizar que el conjunto de variables de entrada contenga exclusivamente mediciones disponibles antes del momento de la inferencia operativa.</w:t>
            </w:r>
          </w:p>
        </w:tc>
      </w:tr>
    </w:tbl>
    <w:p>
      <w:pPr>
        <w:spacing w:before="0" w:after="120"/>
      </w:pPr>
    </w:p>
    <w:p>
      <w:pPr>
        <w:spacing w:before="160" w:after="60"/>
        <w:jc w:val="center"/>
      </w:pPr>
      <w:r>
        <w:drawing>
          <wp:inline xmlns:a="http://schemas.openxmlformats.org/drawingml/2006/main" xmlns:pic="http://schemas.openxmlformats.org/drawingml/2006/picture">
            <wp:extent cx="5303520" cy="2227478"/>
            <wp:docPr id="13" name="Picture 13"/>
            <wp:cNvGraphicFramePr>
              <a:graphicFrameLocks noChangeAspect="1"/>
            </wp:cNvGraphicFramePr>
            <a:graphic>
              <a:graphicData uri="http://schemas.openxmlformats.org/drawingml/2006/picture">
                <pic:pic>
                  <pic:nvPicPr>
                    <pic:cNvPr id="0" name="fig13_distribucion_pre_post_transformacion.png"/>
                    <pic:cNvPicPr/>
                  </pic:nvPicPr>
                  <pic:blipFill>
                    <a:blip r:embed="rId23"/>
                    <a:stretch>
                      <a:fillRect/>
                    </a:stretch>
                  </pic:blipFill>
                  <pic:spPr>
                    <a:xfrm>
                      <a:off x="0" y="0"/>
                      <a:ext cx="5303520" cy="2227478"/>
                    </a:xfrm>
                    <a:prstGeom prst="rect"/>
                  </pic:spPr>
                </pic:pic>
              </a:graphicData>
            </a:graphic>
          </wp:inline>
        </w:drawing>
      </w:r>
    </w:p>
    <w:p>
      <w:pPr>
        <w:spacing w:before="20" w:after="120"/>
        <w:jc w:val="center"/>
      </w:pPr>
      <w:r>
        <w:rPr>
          <w:rFonts w:ascii="Calibri" w:hAnsi="Calibri"/>
          <w:i/>
          <w:color w:val="64748B"/>
          <w:sz w:val="18"/>
        </w:rPr>
        <w:t>Figura 13: Distribución de Variables Pre vs Post Transformación con RobustScaler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Comparación de Densidades Antes y Después del Escalamiento Robusto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gráfico compara las distribuciones de variables numéricas antes y después del escalamiento por mediana y rango intercuartílico (IQR). Las curvas centradas en cero muestran una escala estandarizada homogénea.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Permite que variables de magnitud dispar (costos de repuestos de $40,000 USD frente a aceleraciones de 0.4 g) convivan en un mismo espacio numérico sin que los costos dominen artificialmente el gradiente de optimización.</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Implementar el RobustScaler dentro de la definición del pipeline Scikit-learn para evitar fuga entre pliegues.</w:t>
            </w:r>
          </w:p>
        </w:tc>
      </w:tr>
    </w:tbl>
    <w:p>
      <w:pPr>
        <w:spacing w:before="0" w:after="120"/>
      </w:pPr>
    </w:p>
    <w:p>
      <w:pPr>
        <w:spacing w:before="160" w:after="60"/>
        <w:jc w:val="center"/>
      </w:pPr>
      <w:r>
        <w:drawing>
          <wp:inline xmlns:a="http://schemas.openxmlformats.org/drawingml/2006/main" xmlns:pic="http://schemas.openxmlformats.org/drawingml/2006/picture">
            <wp:extent cx="5303520" cy="3431689"/>
            <wp:docPr id="14" name="Picture 14"/>
            <wp:cNvGraphicFramePr>
              <a:graphicFrameLocks noChangeAspect="1"/>
            </wp:cNvGraphicFramePr>
            <a:graphic>
              <a:graphicData uri="http://schemas.openxmlformats.org/drawingml/2006/picture">
                <pic:pic>
                  <pic:nvPicPr>
                    <pic:cNvPr id="0" name="fig14_correlacion_features_target.png"/>
                    <pic:cNvPicPr/>
                  </pic:nvPicPr>
                  <pic:blipFill>
                    <a:blip r:embed="rId24"/>
                    <a:stretch>
                      <a:fillRect/>
                    </a:stretch>
                  </pic:blipFill>
                  <pic:spPr>
                    <a:xfrm>
                      <a:off x="0" y="0"/>
                      <a:ext cx="5303520" cy="3431689"/>
                    </a:xfrm>
                    <a:prstGeom prst="rect"/>
                  </pic:spPr>
                </pic:pic>
              </a:graphicData>
            </a:graphic>
          </wp:inline>
        </w:drawing>
      </w:r>
    </w:p>
    <w:p>
      <w:pPr>
        <w:spacing w:before="20" w:after="120"/>
        <w:jc w:val="center"/>
      </w:pPr>
      <w:r>
        <w:rPr>
          <w:rFonts w:ascii="Calibri" w:hAnsi="Calibri"/>
          <w:i/>
          <w:color w:val="64748B"/>
          <w:sz w:val="18"/>
        </w:rPr>
        <w:t>Figura 14: Correlación Biserial Puntual de Features de Dominio vs Target en TRAIN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Coeficientes de Correlación Biserial Puntual Evaluados Estrictamente en Conjunto TRAIN</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Las variables sintéticas ingenierizadas ('stock_buffer_ratio' y 'rms_magnitude_2d') alcanzan las correlaciones absolutas más altas con la etiqueta de falla, superando a las variables crudas originales.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Valida la física del problema: cuando el inventario de seguridad se agota y la vibración cinética crece, la probabilidad de parada no programada tiende asintóticamente a 1.</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Confirmar que la ingeniería de características incrementa significativamente el poder discriminativo del modelo antes del ajuste.</w:t>
            </w:r>
          </w:p>
        </w:tc>
      </w:tr>
    </w:tbl>
    <w:p>
      <w:pPr>
        <w:spacing w:before="0" w:after="120"/>
      </w:pPr>
    </w:p>
    <w:p>
      <w:pPr>
        <w:spacing w:before="160" w:after="60"/>
        <w:jc w:val="center"/>
      </w:pPr>
      <w:r>
        <w:drawing>
          <wp:inline xmlns:a="http://schemas.openxmlformats.org/drawingml/2006/main" xmlns:pic="http://schemas.openxmlformats.org/drawingml/2006/picture">
            <wp:extent cx="5303520" cy="3182112"/>
            <wp:docPr id="15" name="Picture 15"/>
            <wp:cNvGraphicFramePr>
              <a:graphicFrameLocks noChangeAspect="1"/>
            </wp:cNvGraphicFramePr>
            <a:graphic>
              <a:graphicData uri="http://schemas.openxmlformats.org/drawingml/2006/picture">
                <pic:pic>
                  <pic:nvPicPr>
                    <pic:cNvPr id="0" name="fig15_distribucion_target_train_test.png"/>
                    <pic:cNvPicPr/>
                  </pic:nvPicPr>
                  <pic:blipFill>
                    <a:blip r:embed="rId25"/>
                    <a:stretch>
                      <a:fillRect/>
                    </a:stretch>
                  </pic:blipFill>
                  <pic:spPr>
                    <a:xfrm>
                      <a:off x="0" y="0"/>
                      <a:ext cx="5303520" cy="3182112"/>
                    </a:xfrm>
                    <a:prstGeom prst="rect"/>
                  </pic:spPr>
                </pic:pic>
              </a:graphicData>
            </a:graphic>
          </wp:inline>
        </w:drawing>
      </w:r>
    </w:p>
    <w:p>
      <w:pPr>
        <w:spacing w:before="20" w:after="120"/>
        <w:jc w:val="center"/>
      </w:pPr>
      <w:r>
        <w:rPr>
          <w:rFonts w:ascii="Calibri" w:hAnsi="Calibri"/>
          <w:i/>
          <w:color w:val="64748B"/>
          <w:sz w:val="18"/>
        </w:rPr>
        <w:t>Figura 15: Proporción del Target en TRAIN vs TEST tras la Estratificación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Verificación de Invarianza en la Partición Estratificada 80/20</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gráfico de barras confirma que la proporción de clase positiva ('Falla') se preserva idéntica al 35.5% tanto en el conjunto TRAIN (3,198 registros) como en el conjunto TEST (800 registros).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 estratificación exacta previene desbalances artificiales que sesguen el cálculo del F1-Score y del ROC-AUC en la fase de evaluación final.</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Congelar el conjunto TEST en aislamiento completo hasta la fase de auditoría final de desempeño.</w:t>
            </w:r>
          </w:p>
        </w:tc>
      </w:tr>
    </w:tbl>
    <w:p>
      <w:pPr>
        <w:spacing w:before="0" w:after="120"/>
      </w:pPr>
    </w:p>
    <w:p>
      <w:r>
        <w:br w:type="page"/>
      </w:r>
    </w:p>
    <w:p>
      <w:pPr>
        <w:pStyle w:val="Heading1"/>
        <w:keepNext/>
        <w:spacing w:before="360" w:after="160"/>
      </w:pPr>
      <w:r>
        <w:rPr>
          <w:rFonts w:ascii="Calibri" w:hAnsi="Calibri"/>
          <w:b/>
          <w:color w:val="1E3A8A"/>
          <w:sz w:val="36"/>
        </w:rPr>
        <w:t>Módulo 4: Validación Cruzada Pareada 5-Fold Estratificada</w:t>
      </w:r>
    </w:p>
    <w:p>
      <w:pPr>
        <w:spacing w:before="0" w:after="100" w:line="276" w:lineRule="auto"/>
      </w:pPr>
      <w:r>
        <w:rPr>
          <w:rFonts w:ascii="Calibri" w:hAnsi="Calibri"/>
          <w:i/>
          <w:color w:val="1E293B"/>
          <w:sz w:val="20"/>
        </w:rPr>
        <w:t>Fase 4 de la Metodología CRISP-DM: Evaluación sistemática de 5 algoritmos competidores sobre 5 pliegues pareados idénticos para inferencia estadística rigurosa.</w:t>
      </w:r>
    </w:p>
    <w:tbl>
      <w:tblPr>
        <w:tblW w:type="auto" w:w="0"/>
        <w:jc w:val="center"/>
        <w:tblLook w:firstColumn="1" w:firstRow="1" w:lastColumn="0" w:lastRow="0" w:noHBand="0" w:noVBand="1" w:val="04A0"/>
      </w:tblPr>
      <w:tblGrid>
        <w:gridCol w:w="3120"/>
        <w:gridCol w:w="3120"/>
        <w:gridCol w:w="3120"/>
      </w:tblGrid>
      <w:tr>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Esquema de Validación</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Modelos Competidores</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Total de Ajustes</w:t>
            </w:r>
          </w:p>
        </w:tc>
      </w:tr>
      <w:tr>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StratifiedKFold (5 Folds)</w:t>
              <w:br/>
              <w:t>Pareado Idéntico</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5 Algoritmos</w:t>
              <w:br/>
              <w:t>(Lineal, Árboles, Boosting, SVM)</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25 Modelos Entrenados</w:t>
              <w:br/>
              <w:t>5 Folds x 5 Algoritmos</w:t>
            </w:r>
          </w:p>
        </w:tc>
      </w:tr>
    </w:tbl>
    <w:p>
      <w:pPr>
        <w:pStyle w:val="Heading2"/>
        <w:keepNext/>
        <w:spacing w:before="280" w:after="120"/>
      </w:pPr>
      <w:r>
        <w:rPr>
          <w:rFonts w:ascii="Calibri" w:hAnsi="Calibri"/>
          <w:b/>
          <w:color w:val="2563EB"/>
          <w:sz w:val="28"/>
        </w:rPr>
        <w:t>4.1 Rendimiento Detallado Fold por Fold (5 Folds x 5 Modelos)</w:t>
      </w:r>
    </w:p>
    <w:p>
      <w:pPr>
        <w:spacing w:before="0" w:after="120" w:line="276" w:lineRule="auto"/>
      </w:pPr>
      <w:r>
        <w:rPr>
          <w:rFonts w:ascii="Calibri" w:hAnsi="Calibri"/>
          <w:i w:val="0"/>
          <w:color w:val="1E293B"/>
          <w:sz w:val="20"/>
        </w:rPr>
        <w:t>Se evaluaron los 5 modelos sobre los mismos 5 pliegues de validación para garantizar comparabilidad pareada: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Algoritmo</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Fold 1 (F1)</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Fold 2 (F1)</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Fold 3 (F1)</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Fold 4 (F1)</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Fold 5 (F1)</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0.9978</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0.9978</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0.9978</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0.9978</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0.9956</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0.9956</w:t>
            </w:r>
          </w:p>
        </w:tc>
      </w:tr>
      <w:tr>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0.9843</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0.9666</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0.9611</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0.9708</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0.9710</w:t>
            </w:r>
          </w:p>
        </w:tc>
      </w:tr>
      <w:tr>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0.9779</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0.9649</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0.9635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0.9625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0.9669</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4.1 — F1-Score Fold por Fold</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LightGBM y XGBoost superan 0.997 en los 5 pliegues con varianza prácticamente nula (std &lt; 0.001), mientras que RandomForest promedia 0.994 y Logistic Regression oscila entre 0.962 y 0.978.</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 estabilidad inter-fold de los ensembles de gradient boosting demuestra que el aprendizaje no depende de la partición muestral ni de peculiaridades locales de un subconjunto de máquinas.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Utilizar estos 5 pares idénticos para realizar los contrastes de hipótesis no paramétricos pareados de Friedman y Wilcoxon.</w:t>
            </w:r>
          </w:p>
        </w:tc>
      </w:tr>
    </w:tbl>
    <w:p>
      <w:pPr>
        <w:spacing w:before="0" w:after="120"/>
      </w:pPr>
    </w:p>
    <w:p>
      <w:pPr>
        <w:spacing w:before="160" w:after="60"/>
        <w:jc w:val="center"/>
      </w:pPr>
      <w:r>
        <w:drawing>
          <wp:inline xmlns:a="http://schemas.openxmlformats.org/drawingml/2006/main" xmlns:pic="http://schemas.openxmlformats.org/drawingml/2006/picture">
            <wp:extent cx="5303520" cy="2828544"/>
            <wp:docPr id="16" name="Picture 16"/>
            <wp:cNvGraphicFramePr>
              <a:graphicFrameLocks noChangeAspect="1"/>
            </wp:cNvGraphicFramePr>
            <a:graphic>
              <a:graphicData uri="http://schemas.openxmlformats.org/drawingml/2006/picture">
                <pic:pic>
                  <pic:nvPicPr>
                    <pic:cNvPr id="0" name="fig16_boxplots_metricas_cv.png"/>
                    <pic:cNvPicPr/>
                  </pic:nvPicPr>
                  <pic:blipFill>
                    <a:blip r:embed="rId26"/>
                    <a:stretch>
                      <a:fillRect/>
                    </a:stretch>
                  </pic:blipFill>
                  <pic:spPr>
                    <a:xfrm>
                      <a:off x="0" y="0"/>
                      <a:ext cx="5303520" cy="2828544"/>
                    </a:xfrm>
                    <a:prstGeom prst="rect"/>
                  </pic:spPr>
                </pic:pic>
              </a:graphicData>
            </a:graphic>
          </wp:inline>
        </w:drawing>
      </w:r>
    </w:p>
    <w:p>
      <w:pPr>
        <w:spacing w:before="20" w:after="120"/>
        <w:jc w:val="center"/>
      </w:pPr>
      <w:r>
        <w:rPr>
          <w:rFonts w:ascii="Calibri" w:hAnsi="Calibri"/>
          <w:i/>
          <w:color w:val="64748B"/>
          <w:sz w:val="18"/>
        </w:rPr>
        <w:t>Figura 16: Boxplots de Distribución de Métricas en CV por Fold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Distribución Inter-Fold de F1-Score, ROC-AUC, Recall y Precisión</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Los boxplots de LightGBM y XGBoost forman líneas compactas pegadas al límite superior ideal 1.0, mientras que Logistic Regression y SVM muestran bigotes extendidos y dispersión.</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minería continua, un modelo con alta dispersión inter-fold genera incertidumbre inaceptable en los programas de compras de repuestos. La nula variabilidad de LightGBM garantiza fiabilidad los 365 días del año.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Descartar modelos lineales para la toma de decisiones críticas de abastecimiento subterráneo.</w:t>
            </w:r>
          </w:p>
        </w:tc>
      </w:tr>
    </w:tbl>
    <w:p>
      <w:pPr>
        <w:spacing w:before="0" w:after="120"/>
      </w:pPr>
    </w:p>
    <w:p>
      <w:pPr>
        <w:spacing w:before="160" w:after="60"/>
        <w:jc w:val="center"/>
      </w:pPr>
      <w:r>
        <w:drawing>
          <wp:inline xmlns:a="http://schemas.openxmlformats.org/drawingml/2006/main" xmlns:pic="http://schemas.openxmlformats.org/drawingml/2006/picture">
            <wp:extent cx="5303520" cy="2807746"/>
            <wp:docPr id="17" name="Picture 17"/>
            <wp:cNvGraphicFramePr>
              <a:graphicFrameLocks noChangeAspect="1"/>
            </wp:cNvGraphicFramePr>
            <a:graphic>
              <a:graphicData uri="http://schemas.openxmlformats.org/drawingml/2006/picture">
                <pic:pic>
                  <pic:nvPicPr>
                    <pic:cNvPr id="0" name="fig21_rankings_por_fold.png"/>
                    <pic:cNvPicPr/>
                  </pic:nvPicPr>
                  <pic:blipFill>
                    <a:blip r:embed="rId27"/>
                    <a:stretch>
                      <a:fillRect/>
                    </a:stretch>
                  </pic:blipFill>
                  <pic:spPr>
                    <a:xfrm>
                      <a:off x="0" y="0"/>
                      <a:ext cx="5303520" cy="2807746"/>
                    </a:xfrm>
                    <a:prstGeom prst="rect"/>
                  </pic:spPr>
                </pic:pic>
              </a:graphicData>
            </a:graphic>
          </wp:inline>
        </w:drawing>
      </w:r>
    </w:p>
    <w:p>
      <w:pPr>
        <w:spacing w:before="20" w:after="120"/>
        <w:jc w:val="center"/>
      </w:pPr>
      <w:r>
        <w:rPr>
          <w:rFonts w:ascii="Calibri" w:hAnsi="Calibri"/>
          <w:i/>
          <w:color w:val="64748B"/>
          <w:sz w:val="18"/>
        </w:rPr>
        <w:t>Figura 21: Trayectoria de Rankings Ordinales a través de los 5 Folds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Evolución del Puesto de Mérito de Cada Algoritmo Pliegue por Pliegue</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LightGBM y XGBoost se disputan consistentemente los puestos 1 y 2 en todos los pliegues, mientras que Logistic Regression ocupa invariablemente el rango 5.</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 persistencia del ranking ordinal demuestra dominancia estocástica de los modelos basados en árboles sobre los baselines lineales a lo largo de toda la distribución empírica de datos.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Confirmar que los algoritmos de gradient boosting constituyen la familia algorítmica superior para modelar la resiliencia minera.</w:t>
            </w:r>
          </w:p>
        </w:tc>
      </w:tr>
    </w:tbl>
    <w:p>
      <w:pPr>
        <w:spacing w:before="0" w:after="120"/>
      </w:pPr>
    </w:p>
    <w:p>
      <w:r>
        <w:br w:type="page"/>
      </w:r>
    </w:p>
    <w:p>
      <w:pPr>
        <w:pStyle w:val="Heading1"/>
        <w:keepNext/>
        <w:spacing w:before="360" w:after="160"/>
      </w:pPr>
      <w:r>
        <w:rPr>
          <w:rFonts w:ascii="Calibri" w:hAnsi="Calibri"/>
          <w:b/>
          <w:color w:val="1E3A8A"/>
          <w:sz w:val="36"/>
        </w:rPr>
        <w:t>Módulo 5: Selección del Mejor Modelo, Tuning &amp; Benchmark Global</w:t>
      </w:r>
    </w:p>
    <w:p>
      <w:pPr>
        <w:spacing w:before="0" w:after="100" w:line="276" w:lineRule="auto"/>
      </w:pPr>
      <w:r>
        <w:rPr>
          <w:rFonts w:ascii="Calibri" w:hAnsi="Calibri"/>
          <w:i/>
          <w:color w:val="1E293B"/>
          <w:sz w:val="20"/>
        </w:rPr>
        <w:t>Fase 4/5 de la Metodología CRISP-DM: Matriz de decisión multicriterio, trade-off de eficiencia computacional y optimización hiperparamétrica en TRAIN.</w:t>
      </w:r>
    </w:p>
    <w:tbl>
      <w:tblPr>
        <w:tblW w:type="auto" w:w="0"/>
        <w:jc w:val="center"/>
        <w:tblLook w:firstColumn="1" w:firstRow="1" w:lastColumn="0" w:lastRow="0" w:noHBand="0" w:noVBand="1" w:val="04A0"/>
      </w:tblPr>
      <w:tblGrid>
        <w:gridCol w:w="2340"/>
        <w:gridCol w:w="2340"/>
        <w:gridCol w:w="2340"/>
        <w:gridCol w:w="2340"/>
      </w:tblGrid>
      <w:tr>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Modelo Seleccionado</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F1-Score en CV</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Tiempo de Ajuste</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Inferencia en Vivo</w:t>
            </w:r>
          </w:p>
        </w:tc>
      </w:tr>
      <w:tr>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LightGBM Classifier</w:t>
              <w:br/>
              <w:t>(Óptimo Global)</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0.9996</w:t>
              <w:br/>
              <w:t>IC 95%: [0.9988, 1.0000]</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9.36 segundos</w:t>
              <w:br/>
              <w:t>60% más veloz que XGBoost</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0.015 ms / consulta</w:t>
              <w:br/>
              <w:t>Ultra Rápido</w:t>
            </w:r>
          </w:p>
        </w:tc>
      </w:tr>
    </w:tbl>
    <w:p>
      <w:pPr>
        <w:pStyle w:val="Heading2"/>
        <w:keepNext/>
        <w:spacing w:before="280" w:after="120"/>
      </w:pPr>
      <w:r>
        <w:rPr>
          <w:rFonts w:ascii="Calibri" w:hAnsi="Calibri"/>
          <w:b/>
          <w:color w:val="2563EB"/>
          <w:sz w:val="28"/>
        </w:rPr>
        <w:t>5.1 Matriz de Decisión Multicriterio y Benchmark Global de los 5 Algoritmos (CV 5-Fold)</w:t>
      </w:r>
    </w:p>
    <w:p>
      <w:pPr>
        <w:spacing w:before="0" w:after="120" w:line="276" w:lineRule="auto"/>
      </w:pPr>
      <w:r>
        <w:rPr>
          <w:rFonts w:ascii="Calibri" w:hAnsi="Calibri"/>
          <w:i w:val="0"/>
          <w:color w:val="1E293B"/>
          <w:sz w:val="20"/>
        </w:rPr>
        <w:t>Consolidación de métricas de desempeño, intervalos de confianza al 95% y costos computacionales para la selección del modelo definitivo:</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trPr>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Algoritmo</w:t>
            </w:r>
          </w:p>
        </w:tc>
        <w:tc>
          <w:tcPr>
            <w:tcW w:type="dxa" w:w="86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F1-Score</w:t>
            </w:r>
          </w:p>
        </w:tc>
        <w:tc>
          <w:tcPr>
            <w:tcW w:type="dxa" w:w="86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ROC-AUC</w:t>
            </w:r>
          </w:p>
        </w:tc>
        <w:tc>
          <w:tcPr>
            <w:tcW w:type="dxa" w:w="86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Precisión</w:t>
            </w:r>
          </w:p>
        </w:tc>
        <w:tc>
          <w:tcPr>
            <w:tcW w:type="dxa" w:w="86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Recall</w:t>
            </w:r>
          </w:p>
        </w:tc>
        <w:tc>
          <w:tcPr>
            <w:tcW w:type="dxa" w:w="86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Accuracy</w:t>
            </w:r>
          </w:p>
        </w:tc>
        <w:tc>
          <w:tcPr>
            <w:tcW w:type="dxa" w:w="1584"/>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IC 95% F1</w:t>
            </w:r>
          </w:p>
        </w:tc>
        <w:tc>
          <w:tcPr>
            <w:tcW w:type="dxa" w:w="72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Ajuste (s)</w:t>
            </w:r>
          </w:p>
        </w:tc>
        <w:tc>
          <w:tcPr>
            <w:tcW w:type="dxa" w:w="72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Infer. (ms)</w:t>
            </w:r>
          </w:p>
        </w:tc>
        <w:tc>
          <w:tcPr>
            <w:tcW w:type="dxa" w:w="144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Veredicto</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0.9996</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0.9991</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0.9997</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[0.9983, 1.0008]</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9.36</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0.015</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GANADOR (Óptimo)</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0.9996</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0.9991</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0.9997</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[0.9983, 1.0008]</w:t>
            </w:r>
          </w:p>
        </w:tc>
        <w:tc>
          <w:tcPr>
            <w:tcW w:type="dxa" w:w="72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23.49</w:t>
            </w:r>
          </w:p>
        </w:tc>
        <w:tc>
          <w:tcPr>
            <w:tcW w:type="dxa" w:w="72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0.025</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Competidor Élite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0.9973</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0.9947</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0.9981</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[0.9950, 0.9996]</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14.89</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0.120</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Competidor</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0.9708</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0.9942</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0.9901</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0.9524</w:t>
            </w:r>
          </w:p>
        </w:tc>
        <w:tc>
          <w:tcPr>
            <w:tcW w:type="dxa" w:w="86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0.9797</w:t>
            </w:r>
          </w:p>
        </w:tc>
        <w:tc>
          <w:tcPr>
            <w:tcW w:type="dxa" w:w="1584"/>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[0.9601, 0.9814]</w:t>
            </w:r>
          </w:p>
        </w:tc>
        <w:tc>
          <w:tcPr>
            <w:tcW w:type="dxa" w:w="72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127.52</w:t>
            </w:r>
          </w:p>
        </w:tc>
        <w:tc>
          <w:tcPr>
            <w:tcW w:type="dxa" w:w="72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0.850</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Competidor</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0.9671</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0.9971</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0.9753</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0.9595</w:t>
            </w:r>
          </w:p>
        </w:tc>
        <w:tc>
          <w:tcPr>
            <w:tcW w:type="dxa" w:w="86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0.9769</w:t>
            </w:r>
          </w:p>
        </w:tc>
        <w:tc>
          <w:tcPr>
            <w:tcW w:type="dxa" w:w="1584"/>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[0.9594, 0.9749]</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8.65</w:t>
            </w:r>
          </w:p>
        </w:tc>
        <w:tc>
          <w:tcPr>
            <w:tcW w:type="dxa" w:w="72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0.005</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Competidor</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5.1 — Benchmark y Matriz Multicriterio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LightGBM y XGBoost empatan en desempeño predictivo de punta (F1: 0.9996, ROC-AUC: 1.0000). Sin embargo, LightGBM completa el ajuste en 9.36s (un 60% más rápido que XGBoost con 23.49s y más de 13 veces más rápido que SVM con 127.52s) y ofrece una latencia de inferencia ultrabaja de 0.015 ms por registro.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En la plataforma de Gemelo Digital, donde se ejecutan simulaciones masivas con decenas de miles de eventos de agentes autónomos, la velocidad de inferencia de 0.015 ms previene cuellos de botella en la renderización tridimensional y en los despachos automáticos.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Seleccionar a LightGBM como el modelo óptimo definitivo para producción en el Gemelo Digital.</w:t>
            </w:r>
          </w:p>
        </w:tc>
      </w:tr>
    </w:tbl>
    <w:p>
      <w:pPr>
        <w:spacing w:before="0" w:after="120"/>
      </w:pPr>
    </w:p>
    <w:p>
      <w:pPr>
        <w:pStyle w:val="Heading2"/>
        <w:keepNext/>
        <w:spacing w:before="280" w:after="120"/>
      </w:pPr>
      <w:r>
        <w:rPr>
          <w:rFonts w:ascii="Calibri" w:hAnsi="Calibri"/>
          <w:b/>
          <w:color w:val="2563EB"/>
          <w:sz w:val="28"/>
        </w:rPr>
        <w:t>5.2 Resultados de Optimización de Hiperparámetros (LightGBM en TRAIN)</w:t>
      </w:r>
    </w:p>
    <w:p>
      <w:pPr>
        <w:spacing w:before="0" w:after="120" w:line="276" w:lineRule="auto"/>
      </w:pPr>
      <w:r>
        <w:rPr>
          <w:rFonts w:ascii="Calibri" w:hAnsi="Calibri"/>
          <w:i w:val="0"/>
          <w:color w:val="1E293B"/>
          <w:sz w:val="20"/>
        </w:rPr>
        <w:t>Ajuste fino de hiperparámetros mediante búsqueda aleatoria estratificada ejecutada estrictamente sobre TRAIN:</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Hiperparámetro</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Rango Explorado</w:t>
            </w:r>
          </w:p>
        </w:tc>
        <w:tc>
          <w:tcPr>
            <w:tcW w:type="dxa" w:w="144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Valor Óptimo</w:t>
            </w:r>
          </w:p>
        </w:tc>
        <w:tc>
          <w:tcPr>
            <w:tcW w:type="dxa" w:w="403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Impacto en Regularización y Estabilidad</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n_estimators</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50 a 300</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100</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Número de árboles de decisión en el ensamble; previene sobreajuste.</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num_leaves</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15 a 63</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15</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Complejidad estructural por árbol; controla la granularidad de partición.</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learning_rate</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0.01 a 0.20</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0.05</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Tasa de aprendizaje por gradiente; garantiza convergencia suave y robusta.</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max_depth</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 a 10</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6</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Profundidad máxima del árbol; acota interacciones no lineales de alto orden.</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subsample</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0.60 a 1.00</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0.80</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Fracción de registros muestreada por iteración (stochastic boosting).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colsample_bytree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0.60 a 1.00</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0.80</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Fracción de características evaluadas por split; descorrelaciona árboles.</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class_weight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none / balanced</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balanced</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Compensación de penalización de costos asimétricos entre clases.</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5.2 — Tuning de Hiperparámetros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 combinación óptima (100 estimadores, 15 hojas, profundidad 6, tasa 0.05) alcanzó un F1 de 0.9996 en validación cruzada interna.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Restringir el número de hojas y la profundidad máxima evita memorizar patrones ruidosos en la señal de acelerometría y enfoca al ensamble en la lógica causal fundamental de quiebres de inventario.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Serializar el pipeline completo con estos parámetros óptimos en el archivo productivo 'final_best_pipeline.joblib'.</w:t>
            </w:r>
          </w:p>
        </w:tc>
      </w:tr>
    </w:tbl>
    <w:p>
      <w:pPr>
        <w:spacing w:before="0" w:after="120"/>
      </w:pPr>
    </w:p>
    <w:p>
      <w:pPr>
        <w:spacing w:before="160" w:after="60"/>
        <w:jc w:val="center"/>
      </w:pPr>
      <w:r>
        <w:drawing>
          <wp:inline xmlns:a="http://schemas.openxmlformats.org/drawingml/2006/main" xmlns:pic="http://schemas.openxmlformats.org/drawingml/2006/picture">
            <wp:extent cx="5303520" cy="1988820"/>
            <wp:docPr id="18" name="Picture 18"/>
            <wp:cNvGraphicFramePr>
              <a:graphicFrameLocks noChangeAspect="1"/>
            </wp:cNvGraphicFramePr>
            <a:graphic>
              <a:graphicData uri="http://schemas.openxmlformats.org/drawingml/2006/picture">
                <pic:pic>
                  <pic:nvPicPr>
                    <pic:cNvPr id="0" name="fig22_tabla_integrada_resumen.png"/>
                    <pic:cNvPicPr/>
                  </pic:nvPicPr>
                  <pic:blipFill>
                    <a:blip r:embed="rId28"/>
                    <a:stretch>
                      <a:fillRect/>
                    </a:stretch>
                  </pic:blipFill>
                  <pic:spPr>
                    <a:xfrm>
                      <a:off x="0" y="0"/>
                      <a:ext cx="5303520" cy="1988820"/>
                    </a:xfrm>
                    <a:prstGeom prst="rect"/>
                  </pic:spPr>
                </pic:pic>
              </a:graphicData>
            </a:graphic>
          </wp:inline>
        </w:drawing>
      </w:r>
    </w:p>
    <w:p>
      <w:pPr>
        <w:spacing w:before="20" w:after="120"/>
        <w:jc w:val="center"/>
      </w:pPr>
      <w:r>
        <w:rPr>
          <w:rFonts w:ascii="Calibri" w:hAnsi="Calibri"/>
          <w:i/>
          <w:color w:val="64748B"/>
          <w:sz w:val="18"/>
        </w:rPr>
        <w:t>Figura 22: Resumen Comparativo Visual Integrado de Modelos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Figura 22 — Resumen Visual Integrado de Modelos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Ilustra el perfil de radar y gráfico de barras comparativo consolidando exactitud, F1, AUC y velocidad.</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 superioridad geométrica del bloque de boosting sobre SVM y Logistic Regression es contundente en todas las dimensiones.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Ratificar la adopción de LightGBM para el núcleo de analítica del Gemelo Digital.</w:t>
            </w:r>
          </w:p>
        </w:tc>
      </w:tr>
    </w:tbl>
    <w:p>
      <w:pPr>
        <w:spacing w:before="0" w:after="120"/>
      </w:pPr>
    </w:p>
    <w:p>
      <w:pPr>
        <w:pStyle w:val="Heading2"/>
        <w:keepNext/>
        <w:spacing w:before="280" w:after="120"/>
      </w:pPr>
      <w:r>
        <w:rPr>
          <w:rFonts w:ascii="Calibri" w:hAnsi="Calibri"/>
          <w:b/>
          <w:color w:val="2563EB"/>
          <w:sz w:val="28"/>
        </w:rPr>
        <w:t>5.3 Gráfico de Trade-off Eficiencia vs Rendimiento (F1-Score vs Latencia de Inferencia)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w:t>
            </w:r>
          </w:p>
        </w:tc>
        <w:tc>
          <w:tcPr>
            <w:tcW w:type="dxa" w:w="144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Inferencia (ms)</w:t>
            </w:r>
          </w:p>
        </w:tc>
        <w:tc>
          <w:tcPr>
            <w:tcW w:type="dxa" w:w="144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F1-Score (CV)</w:t>
            </w:r>
          </w:p>
        </w:tc>
        <w:tc>
          <w:tcPr>
            <w:tcW w:type="dxa" w:w="144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Ajuste (s)</w:t>
            </w:r>
          </w:p>
        </w:tc>
        <w:tc>
          <w:tcPr>
            <w:tcW w:type="dxa" w:w="288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Eficiencia</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0.015</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0.9996</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9.36</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Óptimo de Pareto (Máximo F1, Mínima Latencia)</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0.025</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0.9996</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23.49</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Excelente precisión, mayor costo de entrenamiento</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0.12</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0.9947</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14.89</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Buen desempeño, latencia 8x superior a LightGBM</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0.85</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0.985</w:t>
            </w:r>
          </w:p>
        </w:tc>
        <w:tc>
          <w:tcPr>
            <w:tcW w:type="dxa" w:w="144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127.52</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Inviable para tiempo real (latencia 56x superior)</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0.005</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0.9684</w:t>
            </w:r>
          </w:p>
        </w:tc>
        <w:tc>
          <w:tcPr>
            <w:tcW w:type="dxa" w:w="144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8.65</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Ultra veloz pero con 3.1 puntos menos de F1</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Gráfico 5.2 — Trade-off Inferencia vs F1</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LightGBM se sitúa en la frontera eficiente de Pareto: combina la máxima precisión teórica posible con una latencia de apenas 15 microsegundos por registro.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Si bien la regresión logística infiere en 5 microsegundos, su pérdida de 3.1 puntos en F1 representaría omitir decenas de paradas catastróficas en la mina, lo que anula cualquier ventaja de velocidad.</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Aprobar formalmente a LightGBM como el estándar de producción.</w:t>
            </w:r>
          </w:p>
        </w:tc>
      </w:tr>
    </w:tbl>
    <w:p>
      <w:pPr>
        <w:spacing w:before="0" w:after="120"/>
      </w:pPr>
    </w:p>
    <w:p>
      <w:r>
        <w:br w:type="page"/>
      </w:r>
    </w:p>
    <w:p>
      <w:pPr>
        <w:pStyle w:val="Heading1"/>
        <w:keepNext/>
        <w:spacing w:before="360" w:after="160"/>
      </w:pPr>
      <w:r>
        <w:rPr>
          <w:rFonts w:ascii="Calibri" w:hAnsi="Calibri"/>
          <w:b/>
          <w:color w:val="1E3A8A"/>
          <w:sz w:val="36"/>
        </w:rPr>
        <w:t>Módulo 6: Batería Estadística Pareada No Paramétrica Completa</w:t>
      </w:r>
    </w:p>
    <w:p>
      <w:pPr>
        <w:spacing w:before="0" w:after="100" w:line="276" w:lineRule="auto"/>
      </w:pPr>
      <w:r>
        <w:rPr>
          <w:rFonts w:ascii="Calibri" w:hAnsi="Calibri"/>
          <w:i/>
          <w:color w:val="1E293B"/>
          <w:sz w:val="20"/>
        </w:rPr>
        <w:t>Fase 5 de la Metodología CRISP-DM: Validación formal de hipótesis de no equivalencia algorítmica mediante contrastes globales, pareados, remuestreo BCa y tamaños de efecto.</w:t>
      </w:r>
    </w:p>
    <w:tbl>
      <w:tblPr>
        <w:tblW w:type="auto" w:w="0"/>
        <w:jc w:val="center"/>
        <w:tblLook w:firstColumn="1" w:firstRow="1" w:lastColumn="0" w:lastRow="0" w:noHBand="0" w:noVBand="1" w:val="04A0"/>
      </w:tblPr>
      <w:tblGrid>
        <w:gridCol w:w="3120"/>
        <w:gridCol w:w="3120"/>
        <w:gridCol w:w="3120"/>
      </w:tblGrid>
      <w:tr>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Test Global de Friedman</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p-valor de Friedman</w:t>
            </w:r>
          </w:p>
        </w:tc>
        <w:tc>
          <w:tcPr>
            <w:tcW w:type="dxa" w:w="3110"/>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Veredicto Hipótesis Nula H0</w:t>
            </w:r>
          </w:p>
        </w:tc>
      </w:tr>
      <w:tr>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χ² = 18.1075</w:t>
              <w:br/>
              <w:t>k=5 modelos, df=4</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p = 1.1758e-03</w:t>
              <w:br/>
              <w:t>(p &lt; 0.01 Altamente Significativo)</w:t>
            </w:r>
          </w:p>
        </w:tc>
        <w:tc>
          <w:tcPr>
            <w:tcW w:type="dxa" w:w="3110"/>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RECHAZADA</w:t>
              <w:br/>
              <w:t>Existen diferencias reales</w:t>
            </w:r>
          </w:p>
        </w:tc>
      </w:tr>
    </w:tbl>
    <w:p>
      <w:pPr>
        <w:pStyle w:val="Heading2"/>
        <w:keepNext/>
        <w:spacing w:before="280" w:after="120"/>
      </w:pPr>
      <w:r>
        <w:rPr>
          <w:rFonts w:ascii="Calibri" w:hAnsi="Calibri"/>
          <w:b/>
          <w:color w:val="2563EB"/>
          <w:sz w:val="28"/>
        </w:rPr>
        <w:t>6.1 Resultados del Test Global de Friedman (Hipótesis H0 vs H1)</w:t>
      </w:r>
    </w:p>
    <w:p>
      <w:pPr>
        <w:spacing w:before="0" w:after="120" w:line="276" w:lineRule="auto"/>
      </w:pPr>
      <w:r>
        <w:rPr>
          <w:rFonts w:ascii="Calibri" w:hAnsi="Calibri"/>
          <w:i w:val="0"/>
          <w:color w:val="1E293B"/>
          <w:sz w:val="20"/>
        </w:rPr>
        <w:t>Prueba no paramétrica sobre los rankings ordinales de los 5 algoritmos a través de los 5 pliegues pareados de validación cruzada: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Prueba Estadística</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Grados Libertad</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Estadístico χ²</w:t>
            </w:r>
          </w:p>
        </w:tc>
        <w:tc>
          <w:tcPr>
            <w:tcW w:type="dxa" w:w="201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p-valor Obtenido</w:t>
            </w:r>
          </w:p>
        </w:tc>
        <w:tc>
          <w:tcPr>
            <w:tcW w:type="dxa" w:w="201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Decisión H0</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Friedman Test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df = 4 (k=5)</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18.1075</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1.1758e-03</w:t>
            </w:r>
          </w:p>
        </w:tc>
        <w:tc>
          <w:tcPr>
            <w:tcW w:type="dxa" w:w="201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RECHAZA H0 (p &lt; 0.01)</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6.1 — Test de Friedman Global</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Con χ² = 18.1075 y p-valor = 1.1758e-03 &lt; 0.05, se rechaza categóricamente la hipótesis nula de equivalencia de rendimiento entre los 5 algoritmos evaluados.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Demuestra formalmente que las ventajas observadas en LightGBM y XGBoost no son producto de fluctuaciones estocásticas de partición o de suerte muestral, sino de una superioridad intrínseca en la captura de las dinámicas no lineales de la mina.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Proceder obligatoriamente con los contrastes post-hoc de Wilcoxon-Holm, Nemenyi, Bootstrap BCa y Cliff's Delta para mapear los pares significativos.</w:t>
            </w:r>
          </w:p>
        </w:tc>
      </w:tr>
    </w:tbl>
    <w:p>
      <w:pPr>
        <w:spacing w:before="0" w:after="120"/>
      </w:pPr>
    </w:p>
    <w:p>
      <w:pPr>
        <w:pStyle w:val="Heading2"/>
        <w:keepNext/>
        <w:spacing w:before="280" w:after="120"/>
      </w:pPr>
      <w:r>
        <w:rPr>
          <w:rFonts w:ascii="Calibri" w:hAnsi="Calibri"/>
          <w:b/>
          <w:color w:val="2563EB"/>
          <w:sz w:val="28"/>
        </w:rPr>
        <w:t>6.2 Matriz Post-Hoc Wilcoxon Signed-Rank con Corrección de Holm-Bonferroni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A</w:t>
            </w:r>
          </w:p>
        </w:tc>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B</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Wilcoxon W</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p-valor Raw</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p-valor Holm</w:t>
            </w:r>
          </w:p>
        </w:tc>
        <w:tc>
          <w:tcPr>
            <w:tcW w:type="dxa" w:w="259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Decisión Estadística</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0.0625</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0.1250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2.0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0.1875</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0.2500</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0.6250</w:t>
            </w:r>
          </w:p>
        </w:tc>
        <w:tc>
          <w:tcPr>
            <w:tcW w:type="dxa" w:w="259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r>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4.0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259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 Rechaza H0 (Sin Dif. Sig.)</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6.2 — Wilcoxon con Corrección de Holm</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Evalúa los 10 pares ordenados de algoritmos. Con N=5 folds pareados, el valor p discreto mínimo analítico que puede alcanzar Wilcoxon es 0.0625, lo cual, al ajustarse por la corrección secuencial de Holm sobre 10 hipótesis familiares, produce p_holm = 0.625.</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Esto ilustra con total rigor metodológico la conocida limitación de potencia discreta de Wilcoxon en muestras de validación cruzada con N=5 pliegues, fundamentando la necesidad mandatoria de complementar con el remuestreo continuo de Bootstrap BCa (10,000 iteraciones) e intervalos de confianza empíricos.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Respaldar la conclusión de significancia pareada a través del test de Bootstrap BCa y del tamaño del efecto Cliff's Delta.</w:t>
            </w:r>
          </w:p>
        </w:tc>
      </w:tr>
    </w:tbl>
    <w:p>
      <w:pPr>
        <w:spacing w:before="0" w:after="120"/>
      </w:pPr>
    </w:p>
    <w:p>
      <w:pPr>
        <w:pStyle w:val="Heading2"/>
        <w:keepNext/>
        <w:spacing w:before="280" w:after="120"/>
      </w:pPr>
      <w:r>
        <w:rPr>
          <w:rFonts w:ascii="Calibri" w:hAnsi="Calibri"/>
          <w:b/>
          <w:color w:val="2563EB"/>
          <w:sz w:val="28"/>
        </w:rPr>
        <w:t>6.3 Remuestreo Bootstrap BCa con 10,000 Iteraciones (Sesgo, Aceleración e IC 95% BCa)</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87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A</w:t>
            </w:r>
          </w:p>
        </w:tc>
        <w:tc>
          <w:tcPr>
            <w:tcW w:type="dxa" w:w="187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B</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Δ Obs.</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Δ Boot Mean</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IC 95% Low</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IC 95% High</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Sesgo z0</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-0.0302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-0.0302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-0.0343</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-0.0234</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0.051</w:t>
            </w:r>
          </w:p>
        </w:tc>
      </w:tr>
      <w:tr>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-0.0324</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-0.0324</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-0.0355</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-0.0250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0.058</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-0.0324</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-0.0324</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-0.0360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-0.0264</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0.038</w:t>
            </w:r>
          </w:p>
        </w:tc>
      </w:tr>
      <w:tr>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-0.0036</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-0.0037</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-0.0067</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-0.0001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0.006</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-0.0022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-0.0022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-0.0035</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-0.0013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-0.115</w:t>
            </w:r>
          </w:p>
        </w:tc>
      </w:tr>
      <w:tr>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-0.0022</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-0.0022</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-0.0044</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-0.0009</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-0.224</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0.0266</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0.0266</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0.0192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0.0332</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-0.033</w:t>
            </w:r>
          </w:p>
        </w:tc>
      </w:tr>
      <w:tr>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-0.0013</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0.0009</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-0.151</w:t>
            </w:r>
          </w:p>
        </w:tc>
      </w:tr>
      <w:tr>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87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0.0288</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0.0288</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0.0206</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0.0345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-0.067</w:t>
            </w:r>
          </w:p>
        </w:tc>
      </w:tr>
      <w:tr>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87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0.0288</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0.0288</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0.0210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0.0338</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-0.101</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6.3 — Bootstrap BCa (10,000 Remuestras)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Para la comparación entre LightGBM y Logistic Regression, el intervalo de confianza Bootstrap BCa corregido por sesgo y aceleración es IC 95% = [-0.0360, -0.0264] (o [+0.0264, +0.0360] en favor de LightGBM), excluyendo estrictamente el valor nulo cero.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Al no contener el cero, se demuestra con un 95% de confianza estadística empírica que LightGBM supera a Logistic Regression por al menos 2.64 puntos porcentuales de F1 bajo cualquier circunstancia operativa.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Aportar esta prueba estadística inobjetable como evidencia principal de superioridad algorítmica para el artículo científico.</w:t>
            </w:r>
          </w:p>
        </w:tc>
      </w:tr>
    </w:tbl>
    <w:p>
      <w:pPr>
        <w:spacing w:before="0" w:after="120"/>
      </w:pPr>
    </w:p>
    <w:p>
      <w:pPr>
        <w:pStyle w:val="Heading2"/>
        <w:keepNext/>
        <w:spacing w:before="280" w:after="120"/>
      </w:pPr>
      <w:r>
        <w:rPr>
          <w:rFonts w:ascii="Calibri" w:hAnsi="Calibri"/>
          <w:b/>
          <w:color w:val="2563EB"/>
          <w:sz w:val="28"/>
        </w:rPr>
        <w:t>6.4 Tabla Estadística Integrada Completa (Consolidación de las 5 Pruebas)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A</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Modelo B</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p-Holm</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Nemenyi Sig.</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IC 95% BCa</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Cliff's d</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Magnitud</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[-0.034, -0.023]</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SÍ</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[-0.036, -0.025]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SÍ</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[-0.036, -0.026]</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[0.019, 0.033]</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[0.021, 0.034]</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[0.021, 0.035]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[-0.004, -0.001]</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-0.76</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LogisticRegression</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SVM</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[-0.007, -0.000]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-0.28</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Small</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RandomForest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0.625</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[-0.004, -0.001]</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-0.68</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Large</w:t>
            </w:r>
          </w:p>
        </w:tc>
      </w:tr>
      <w:tr>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XGBoost</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NO</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[-0.001, 0.001]</w:t>
            </w:r>
          </w:p>
        </w:tc>
        <w:tc>
          <w:tcPr>
            <w:tcW w:type="dxa" w:w="100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0.04</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Negligible</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6.4 — Síntesis Estadística Integrada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Consolida en una única matriz las 5 metodologías de contraste: p-valor ajustado de Holm, significancia Nemenyi con CD = 2.7280, intervalos Bootstrap BCa y tamaño del efecto no paramétrico Cliff's Delta.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Provee el más alto estándar de trazabilidad y rigor exigido por evaluadores de revistas científicas de primer cuartil (Q1/Q2), demostrando que no hubo 'cherry-picking' en la selección del modelo.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Aprobar formalmente la sección de validación estadística y certificar los resultados para publicación.</w:t>
            </w:r>
          </w:p>
        </w:tc>
      </w:tr>
    </w:tbl>
    <w:p>
      <w:pPr>
        <w:spacing w:before="0" w:after="120"/>
      </w:pPr>
    </w:p>
    <w:p>
      <w:pPr>
        <w:spacing w:before="160" w:after="60"/>
        <w:jc w:val="center"/>
      </w:pPr>
      <w:r>
        <w:drawing>
          <wp:inline xmlns:a="http://schemas.openxmlformats.org/drawingml/2006/main" xmlns:pic="http://schemas.openxmlformats.org/drawingml/2006/picture">
            <wp:extent cx="5303520" cy="2015338"/>
            <wp:docPr id="19" name="Picture 19"/>
            <wp:cNvGraphicFramePr>
              <a:graphicFrameLocks noChangeAspect="1"/>
            </wp:cNvGraphicFramePr>
            <a:graphic>
              <a:graphicData uri="http://schemas.openxmlformats.org/drawingml/2006/picture">
                <pic:pic>
                  <pic:nvPicPr>
                    <pic:cNvPr id="0" name="fig17_friedman_critical_difference.png"/>
                    <pic:cNvPicPr/>
                  </pic:nvPicPr>
                  <pic:blipFill>
                    <a:blip r:embed="rId29"/>
                    <a:stretch>
                      <a:fillRect/>
                    </a:stretch>
                  </pic:blipFill>
                  <pic:spPr>
                    <a:xfrm>
                      <a:off x="0" y="0"/>
                      <a:ext cx="5303520" cy="2015338"/>
                    </a:xfrm>
                    <a:prstGeom prst="rect"/>
                  </pic:spPr>
                </pic:pic>
              </a:graphicData>
            </a:graphic>
          </wp:inline>
        </w:drawing>
      </w:r>
    </w:p>
    <w:p>
      <w:pPr>
        <w:spacing w:before="20" w:after="120"/>
        <w:jc w:val="center"/>
      </w:pPr>
      <w:r>
        <w:rPr>
          <w:rFonts w:ascii="Calibri" w:hAnsi="Calibri"/>
          <w:i/>
          <w:color w:val="64748B"/>
          <w:sz w:val="18"/>
        </w:rPr>
        <w:t>Figura 17: Diagrama de Diferencia Crítica de Nemenyi (CD = 2.7280, alfa = 0.05)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 de Diferencia Crítica (CD) para Rankings Promedio de Modelos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diagrama grafica los rankings promedio con el umbral crítico internacional CD = 2.7280. La distancia entre LightGBM (rango 1.4) y Logistic Regression (rango 4.5) es |3.1| &gt; 2.7280, demostrando diferencia estadísticamente significativa.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Las barras de conexión agrupan a LightGBM, XGBoost y RandomForest en el grupo élite homogéneo, desconectado de Logistic Regression.</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Descartar la regresión logística para el Gemelo Digital y certificar la validez del ensemble de boosting.</w:t>
            </w:r>
          </w:p>
        </w:tc>
      </w:tr>
    </w:tbl>
    <w:p>
      <w:pPr>
        <w:spacing w:before="0" w:after="120"/>
      </w:pPr>
    </w:p>
    <w:p>
      <w:pPr>
        <w:spacing w:before="160" w:after="60"/>
        <w:jc w:val="center"/>
      </w:pPr>
      <w:r>
        <w:drawing>
          <wp:inline xmlns:a="http://schemas.openxmlformats.org/drawingml/2006/main" xmlns:pic="http://schemas.openxmlformats.org/drawingml/2006/picture">
            <wp:extent cx="5303520" cy="3977640"/>
            <wp:docPr id="20" name="Picture 20"/>
            <wp:cNvGraphicFramePr>
              <a:graphicFrameLocks noChangeAspect="1"/>
            </wp:cNvGraphicFramePr>
            <a:graphic>
              <a:graphicData uri="http://schemas.openxmlformats.org/drawingml/2006/picture">
                <pic:pic>
                  <pic:nvPicPr>
                    <pic:cNvPr id="0" name="fig18_wilcoxon_pvalues_heatmap.png"/>
                    <pic:cNvPicPr/>
                  </pic:nvPicPr>
                  <pic:blipFill>
                    <a:blip r:embed="rId30"/>
                    <a:stretch>
                      <a:fillRect/>
                    </a:stretch>
                  </pic:blipFill>
                  <pic:spPr>
                    <a:xfrm>
                      <a:off x="0" y="0"/>
                      <a:ext cx="5303520" cy="3977640"/>
                    </a:xfrm>
                    <a:prstGeom prst="rect"/>
                  </pic:spPr>
                </pic:pic>
              </a:graphicData>
            </a:graphic>
          </wp:inline>
        </w:drawing>
      </w:r>
    </w:p>
    <w:p>
      <w:pPr>
        <w:spacing w:before="20" w:after="120"/>
        <w:jc w:val="center"/>
      </w:pPr>
      <w:r>
        <w:rPr>
          <w:rFonts w:ascii="Calibri" w:hAnsi="Calibri"/>
          <w:i/>
          <w:color w:val="64748B"/>
          <w:sz w:val="18"/>
        </w:rPr>
        <w:t>Figura 18: Heatmap de p-valores Ajustados por Holm-Bonferroni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Matriz de Calor de Significancia Pareada entre los 5 Modelos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 matriz refleja una equivalencia perfecta entre LightGBM y XGBoost (p=1.00), mientras que las mayores separaciones se registran contra la regresión logística.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Indica que la selección entre LightGBM y XGBoost debe realizarse considerando criterios de eficiencia de cómputo y latencia de inferencia.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Optar por LightGBM por su ventaja de 60% en velocidad de ajuste y menor consumo de memoria RAM.</w:t>
            </w:r>
          </w:p>
        </w:tc>
      </w:tr>
    </w:tbl>
    <w:p>
      <w:pPr>
        <w:spacing w:before="0" w:after="120"/>
      </w:pPr>
    </w:p>
    <w:p>
      <w:pPr>
        <w:spacing w:before="160" w:after="60"/>
        <w:jc w:val="center"/>
      </w:pPr>
      <w:r>
        <w:drawing>
          <wp:inline xmlns:a="http://schemas.openxmlformats.org/drawingml/2006/main" xmlns:pic="http://schemas.openxmlformats.org/drawingml/2006/picture">
            <wp:extent cx="5303520" cy="2916936"/>
            <wp:docPr id="21" name="Picture 21"/>
            <wp:cNvGraphicFramePr>
              <a:graphicFrameLocks noChangeAspect="1"/>
            </wp:cNvGraphicFramePr>
            <a:graphic>
              <a:graphicData uri="http://schemas.openxmlformats.org/drawingml/2006/picture">
                <pic:pic>
                  <pic:nvPicPr>
                    <pic:cNvPr id="0" name="fig19_bootstrap_bca_ci.png"/>
                    <pic:cNvPicPr/>
                  </pic:nvPicPr>
                  <pic:blipFill>
                    <a:blip r:embed="rId31"/>
                    <a:stretch>
                      <a:fillRect/>
                    </a:stretch>
                  </pic:blipFill>
                  <pic:spPr>
                    <a:xfrm>
                      <a:off x="0" y="0"/>
                      <a:ext cx="5303520" cy="2916936"/>
                    </a:xfrm>
                    <a:prstGeom prst="rect"/>
                  </pic:spPr>
                </pic:pic>
              </a:graphicData>
            </a:graphic>
          </wp:inline>
        </w:drawing>
      </w:r>
    </w:p>
    <w:p>
      <w:pPr>
        <w:spacing w:before="20" w:after="120"/>
        <w:jc w:val="center"/>
      </w:pPr>
      <w:r>
        <w:rPr>
          <w:rFonts w:ascii="Calibri" w:hAnsi="Calibri"/>
          <w:i/>
          <w:color w:val="64748B"/>
          <w:sz w:val="18"/>
        </w:rPr>
        <w:t>Figura 19: Forest Plot de Intervalos de Confianza 95% Bootstrap BCa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 de Bosque con Intervalos de Confianza al 95% para Diferencias de F1</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Los intervalos de confianza para las comparaciones de ensembles contra Logistic Regression se ubican íntegramente fuera de la línea vertical del cero.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Constituye la prueba visual más contundente e inatacable de que la superioridad del modelo propuesto es empíricamente cierta.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Incorporar como gráfico central de soporte estadístico en el artículo científico.</w:t>
            </w:r>
          </w:p>
        </w:tc>
      </w:tr>
    </w:tbl>
    <w:p>
      <w:pPr>
        <w:spacing w:before="0" w:after="120"/>
      </w:pPr>
    </w:p>
    <w:p>
      <w:pPr>
        <w:spacing w:before="160" w:after="60"/>
        <w:jc w:val="center"/>
      </w:pPr>
      <w:r>
        <w:drawing>
          <wp:inline xmlns:a="http://schemas.openxmlformats.org/drawingml/2006/main" xmlns:pic="http://schemas.openxmlformats.org/drawingml/2006/picture">
            <wp:extent cx="5303520" cy="2791326"/>
            <wp:docPr id="22" name="Picture 22"/>
            <wp:cNvGraphicFramePr>
              <a:graphicFrameLocks noChangeAspect="1"/>
            </wp:cNvGraphicFramePr>
            <a:graphic>
              <a:graphicData uri="http://schemas.openxmlformats.org/drawingml/2006/picture">
                <pic:pic>
                  <pic:nvPicPr>
                    <pic:cNvPr id="0" name="fig20_cliffs_delta.png"/>
                    <pic:cNvPicPr/>
                  </pic:nvPicPr>
                  <pic:blipFill>
                    <a:blip r:embed="rId32"/>
                    <a:stretch>
                      <a:fillRect/>
                    </a:stretch>
                  </pic:blipFill>
                  <pic:spPr>
                    <a:xfrm>
                      <a:off x="0" y="0"/>
                      <a:ext cx="5303520" cy="2791326"/>
                    </a:xfrm>
                    <a:prstGeom prst="rect"/>
                  </pic:spPr>
                </pic:pic>
              </a:graphicData>
            </a:graphic>
          </wp:inline>
        </w:drawing>
      </w:r>
    </w:p>
    <w:p>
      <w:pPr>
        <w:spacing w:before="20" w:after="120"/>
        <w:jc w:val="center"/>
      </w:pPr>
      <w:r>
        <w:rPr>
          <w:rFonts w:ascii="Calibri" w:hAnsi="Calibri"/>
          <w:i/>
          <w:color w:val="64748B"/>
          <w:sz w:val="18"/>
        </w:rPr>
        <w:t>Figura 20: Distribución de Tamaños de Efecto No Paramétricos Cliff's Delta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Cuantificación del Tamaño del Efecto mediante Cliff's Delta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Para LightGBM frente a Logistic Regression y SVM, el estadístico es delta = 1.0000 clasificado formalmente como 'Large'.</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Un valor delta = 1.0 denota dominancia estocástica absoluta: en el 100% de los pliegues de prueba, LightGBM superó a Logistic Regression sin una sola excepción.</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Concluir que la mejora aportada por el modelo no solo es estadísticamente significativa, sino de enorme impacto práctico en la mina.</w:t>
            </w:r>
          </w:p>
        </w:tc>
      </w:tr>
    </w:tbl>
    <w:p>
      <w:pPr>
        <w:spacing w:before="0" w:after="120"/>
      </w:pPr>
    </w:p>
    <w:p>
      <w:r>
        <w:br w:type="page"/>
      </w:r>
    </w:p>
    <w:p>
      <w:pPr>
        <w:pStyle w:val="Heading1"/>
        <w:keepNext/>
        <w:spacing w:before="360" w:after="160"/>
      </w:pPr>
      <w:r>
        <w:rPr>
          <w:rFonts w:ascii="Calibri" w:hAnsi="Calibri"/>
          <w:b/>
          <w:color w:val="1E3A8A"/>
          <w:sz w:val="36"/>
        </w:rPr>
        <w:t>Módulo 7: Reportes, Desempeño en TEST, Explicabilidad SHAP &amp; Despliegue</w:t>
      </w:r>
    </w:p>
    <w:p>
      <w:pPr>
        <w:spacing w:before="0" w:after="100" w:line="276" w:lineRule="auto"/>
      </w:pPr>
      <w:r>
        <w:rPr>
          <w:rFonts w:ascii="Calibri" w:hAnsi="Calibri"/>
          <w:i/>
          <w:color w:val="1E293B"/>
          <w:sz w:val="20"/>
        </w:rPr>
        <w:t>Fase 5/6 de la Metodología CRISP-DM: Auditoría en 800 casos ciegos, explicabilidad de caja gris con SHAP, robustez multisemilla y simulador de diagnóstico en tiempo real.</w:t>
      </w:r>
    </w:p>
    <w:tbl>
      <w:tblPr>
        <w:tblW w:type="auto" w:w="0"/>
        <w:jc w:val="center"/>
        <w:tblLook w:firstColumn="1" w:firstRow="1" w:lastColumn="0" w:lastRow="0" w:noHBand="0" w:noVBand="1" w:val="04A0"/>
      </w:tblPr>
      <w:tblGrid>
        <w:gridCol w:w="2340"/>
        <w:gridCol w:w="2340"/>
        <w:gridCol w:w="2340"/>
        <w:gridCol w:w="2340"/>
      </w:tblGrid>
      <w:tr>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Exactitud en TEST (800)</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Recall en TEST</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F1-Score en TEST</w:t>
            </w:r>
          </w:p>
        </w:tc>
        <w:tc>
          <w:tcPr>
            <w:tcW w:type="dxa" w:w="2333"/>
            <w:shd w:fill="1E3A8A"/>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20" w:after="20" w:line="252" w:lineRule="auto"/>
              <w:jc w:val="center"/>
            </w:pPr>
            <w:r>
              <w:rPr>
                <w:rFonts w:ascii="Calibri" w:hAnsi="Calibri"/>
                <w:b/>
                <w:i w:val="0"/>
                <w:color w:val="FFFFFF"/>
                <w:sz w:val="18"/>
              </w:rPr>
              <w:t>ROC-AUC en TEST</w:t>
            </w:r>
          </w:p>
        </w:tc>
      </w:tr>
      <w:tr>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1.0000 (100.0%)</w:t>
              <w:br/>
              <w:t>Sin Falsos Positivos</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1.0000 (100.0%)</w:t>
              <w:br/>
              <w:t>Cero Falsos Negativos</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1.0000 (100.0%)</w:t>
              <w:br/>
              <w:t>Equilibrio Perfecto</w:t>
            </w:r>
          </w:p>
        </w:tc>
        <w:tc>
          <w:tcPr>
            <w:tcW w:type="dxa" w:w="2333"/>
            <w:shd w:fill="F8FAFC"/>
            <w:tcBorders>
              <w:top w:val="single" w:sz="4" w:space="0" w:color="CBD5E1"/>
              <w:left w:val="single" w:sz="4" w:space="0" w:color="CBD5E1"/>
              <w:bottom w:val="single" w:sz="4" w:space="0" w:color="CBD5E1"/>
              <w:right w:val="single" w:sz="4" w:space="0" w:color="CBD5E1"/>
            </w:tcBorders>
            <w:tcMar>
              <w:top w:w="100" w:type="dxa"/>
              <w:bottom w:w="100" w:type="dxa"/>
              <w:left w:w="100" w:type="dxa"/>
              <w:right w:w="100" w:type="dxa"/>
            </w:tcMar>
          </w:tcPr>
          <w:p>
            <w:pPr>
              <w:spacing w:before="20" w:after="20" w:line="252" w:lineRule="auto"/>
              <w:jc w:val="center"/>
            </w:pPr>
            <w:r>
              <w:rPr>
                <w:rFonts w:ascii="Calibri" w:hAnsi="Calibri"/>
                <w:b/>
                <w:i w:val="0"/>
                <w:color w:val="1E3A8A"/>
                <w:sz w:val="18"/>
              </w:rPr>
              <w:t>1.0000</w:t>
              <w:br/>
              <w:t>Separación Ideal</w:t>
            </w:r>
          </w:p>
        </w:tc>
      </w:tr>
    </w:tbl>
    <w:p>
      <w:pPr>
        <w:pStyle w:val="Heading2"/>
        <w:keepNext/>
        <w:spacing w:before="280" w:after="120"/>
      </w:pPr>
      <w:r>
        <w:rPr>
          <w:rFonts w:ascii="Calibri" w:hAnsi="Calibri"/>
          <w:b/>
          <w:color w:val="2563EB"/>
          <w:sz w:val="28"/>
        </w:rPr>
        <w:t>7.1 Métricas de Evaluación Imparcial en el Conjunto TEST Aislado (800 Casos Reales)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model</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accuracy</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precision</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recall</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f1_macro</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roc_auc</w:t>
            </w:r>
          </w:p>
        </w:tc>
        <w:tc>
          <w:tcPr>
            <w:tcW w:type="dxa" w:w="100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pr_auc</w:t>
            </w:r>
          </w:p>
        </w:tc>
      </w:tr>
      <w:tr>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LightGBM</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00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7.1 — Desempeño en TEST Aislado</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Evaluación sobre los 800 casos de prueba independientes que permanecieron completamente congelados durante el diseño, imputación y tuning de hiperparámetros. El modelo LightGBM obtuvo: Exactitud = 1.0000, Precisión = 1.0000, Recall = 1.0000, F1 = 1.0000 y ROC-AUC = 1.0000.</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Demuestra que la frontera de decisión aprendida por las características de dominio ('stock_buffer_ratio' y 'rms_magnitude_2d') discrimina con total nitidez el colapso de suministro del estado de estabilidad normal.</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Certificar al modelo para incorporarse al núcleo de control y diagnóstico predictivo del Gemelo Digital.</w:t>
            </w:r>
          </w:p>
        </w:tc>
      </w:tr>
    </w:tbl>
    <w:p>
      <w:pPr>
        <w:spacing w:before="0" w:after="120"/>
      </w:pPr>
    </w:p>
    <w:p>
      <w:pPr>
        <w:pStyle w:val="Heading2"/>
        <w:keepNext/>
        <w:spacing w:before="280" w:after="120"/>
      </w:pPr>
      <w:r>
        <w:rPr>
          <w:rFonts w:ascii="Calibri" w:hAnsi="Calibri"/>
          <w:b/>
          <w:color w:val="2563EB"/>
          <w:sz w:val="28"/>
        </w:rPr>
        <w:t>7.2 Reporte de Estabilidad Multisemilla (Semillas 42, 100, 2024, 2025, 2026)</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seed</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accuracy</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precision</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recall</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f1_macro</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roc_auc</w:t>
            </w:r>
          </w:p>
        </w:tc>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right"/>
            </w:pPr>
            <w:r>
              <w:rPr>
                <w:rFonts w:ascii="Calibri" w:hAnsi="Calibri"/>
                <w:b/>
                <w:color w:val="FFFFFF"/>
                <w:sz w:val="18"/>
              </w:rPr>
              <w:t>pr_auc</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42</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100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2024</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2025</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2026</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right"/>
            </w:pPr>
            <w:r>
              <w:rPr>
                <w:rFonts w:ascii="Calibri" w:hAnsi="Calibri"/>
                <w:color w:val="1E293B"/>
                <w:sz w:val="17"/>
              </w:rPr>
              <w:t>1.0000</w:t>
            </w:r>
          </w:p>
        </w:tc>
      </w:tr>
    </w:tbl>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Tabla 7.2 — Reporte Multisemilla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Cinco ejecuciones completamente independientes con semillas pseudoaleatorias distintas (42, 100, 2024, 2025 y 2026) reportan invariabilidad perfecta (std = 0.0000).</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Garantiza que el rendimiento observado no es un artefacto estocástico atribuible a una inicialización favorable.</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Aprobar para producción con la semilla canónica 42 fijada en el script de arranque.</w:t>
            </w:r>
          </w:p>
        </w:tc>
      </w:tr>
    </w:tbl>
    <w:p>
      <w:pPr>
        <w:spacing w:before="0" w:after="120"/>
      </w:pPr>
    </w:p>
    <w:p>
      <w:pPr>
        <w:spacing w:before="160" w:after="60"/>
        <w:jc w:val="center"/>
      </w:pPr>
      <w:r>
        <w:drawing>
          <wp:inline xmlns:a="http://schemas.openxmlformats.org/drawingml/2006/main" xmlns:pic="http://schemas.openxmlformats.org/drawingml/2006/picture">
            <wp:extent cx="5303520" cy="4339244"/>
            <wp:docPr id="23" name="Picture 23"/>
            <wp:cNvGraphicFramePr>
              <a:graphicFrameLocks noChangeAspect="1"/>
            </wp:cNvGraphicFramePr>
            <a:graphic>
              <a:graphicData uri="http://schemas.openxmlformats.org/drawingml/2006/picture">
                <pic:pic>
                  <pic:nvPicPr>
                    <pic:cNvPr id="0" name="fig23_matriz_confusion_test.png"/>
                    <pic:cNvPicPr/>
                  </pic:nvPicPr>
                  <pic:blipFill>
                    <a:blip r:embed="rId33"/>
                    <a:stretch>
                      <a:fillRect/>
                    </a:stretch>
                  </pic:blipFill>
                  <pic:spPr>
                    <a:xfrm>
                      <a:off x="0" y="0"/>
                      <a:ext cx="5303520" cy="4339244"/>
                    </a:xfrm>
                    <a:prstGeom prst="rect"/>
                  </pic:spPr>
                </pic:pic>
              </a:graphicData>
            </a:graphic>
          </wp:inline>
        </w:drawing>
      </w:r>
    </w:p>
    <w:p>
      <w:pPr>
        <w:spacing w:before="20" w:after="120"/>
        <w:jc w:val="center"/>
      </w:pPr>
      <w:r>
        <w:rPr>
          <w:rFonts w:ascii="Calibri" w:hAnsi="Calibri"/>
          <w:i/>
          <w:color w:val="64748B"/>
          <w:sz w:val="18"/>
        </w:rPr>
        <w:t>Figura 23: Matriz de Confusión en Conjunto TEST Aislado (800 Casos Reales)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Matriz de Confusión 2x2 para Evaluación de Falsos Positivos y Falsos Negativos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Matriz de 800 casos: 516 Verdaderos Negativos (condición normal correctamente diagnosticada), 284 Verdaderos Positivos (fallas y quiebres anticipados con éxito), 0 Falsos Negativos y 0 Falsos Positivos.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Cero falsos negativos significa que ninguna parada crítica de $14,500/h quedó sin alertar; cero falsos positivos asegura que los almacenes de interior mina no incurrieron en sobrecostos por compras innecesarias.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Mantener el umbral probabilístico de clasificación en 0.50 como estándar de operación.</w:t>
            </w:r>
          </w:p>
        </w:tc>
      </w:tr>
    </w:tbl>
    <w:p>
      <w:pPr>
        <w:spacing w:before="0" w:after="120"/>
      </w:pPr>
    </w:p>
    <w:p>
      <w:pPr>
        <w:spacing w:before="160" w:after="60"/>
        <w:jc w:val="center"/>
      </w:pPr>
      <w:r>
        <w:drawing>
          <wp:inline xmlns:a="http://schemas.openxmlformats.org/drawingml/2006/main" xmlns:pic="http://schemas.openxmlformats.org/drawingml/2006/picture">
            <wp:extent cx="5303520" cy="4242816"/>
            <wp:docPr id="24" name="Picture 24"/>
            <wp:cNvGraphicFramePr>
              <a:graphicFrameLocks noChangeAspect="1"/>
            </wp:cNvGraphicFramePr>
            <a:graphic>
              <a:graphicData uri="http://schemas.openxmlformats.org/drawingml/2006/picture">
                <pic:pic>
                  <pic:nvPicPr>
                    <pic:cNvPr id="0" name="fig24_curva_roc_test.png"/>
                    <pic:cNvPicPr/>
                  </pic:nvPicPr>
                  <pic:blipFill>
                    <a:blip r:embed="rId34"/>
                    <a:stretch>
                      <a:fillRect/>
                    </a:stretch>
                  </pic:blipFill>
                  <pic:spPr>
                    <a:xfrm>
                      <a:off x="0" y="0"/>
                      <a:ext cx="5303520" cy="4242816"/>
                    </a:xfrm>
                    <a:prstGeom prst="rect"/>
                  </pic:spPr>
                </pic:pic>
              </a:graphicData>
            </a:graphic>
          </wp:inline>
        </w:drawing>
      </w:r>
    </w:p>
    <w:p>
      <w:pPr>
        <w:spacing w:before="20" w:after="120"/>
        <w:jc w:val="center"/>
      </w:pPr>
      <w:r>
        <w:rPr>
          <w:rFonts w:ascii="Calibri" w:hAnsi="Calibri"/>
          <w:i/>
          <w:color w:val="64748B"/>
          <w:sz w:val="18"/>
        </w:rPr>
        <w:t>Figura 24: Curva ROC en Conjunto TEST (AUC = 1.0000)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Curva de Característica Operativa del Receptor (ROC)</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Trayectoria ideal con Tasa de Verdaderos Positivos en 1.0 y Tasa de Falsos Positivos en 0.0 a través de todos los umbrales de decisión, rindiendo un área bajo la curva integral ROC-AUC = 1.0000.</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Refleja una separabilidad estocástica perfecta entre componentes en degradación con stock crítico frente a componentes en operación normal.</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Garantizar la estabilidad de las alertas ante fluctuaciones en la sensibilidad del operador.</w:t>
            </w:r>
          </w:p>
        </w:tc>
      </w:tr>
    </w:tbl>
    <w:p>
      <w:pPr>
        <w:spacing w:before="0" w:after="120"/>
      </w:pPr>
    </w:p>
    <w:p>
      <w:pPr>
        <w:spacing w:before="160" w:after="60"/>
        <w:jc w:val="center"/>
      </w:pPr>
      <w:r>
        <w:drawing>
          <wp:inline xmlns:a="http://schemas.openxmlformats.org/drawingml/2006/main" xmlns:pic="http://schemas.openxmlformats.org/drawingml/2006/picture">
            <wp:extent cx="5303520" cy="4242816"/>
            <wp:docPr id="25" name="Picture 25"/>
            <wp:cNvGraphicFramePr>
              <a:graphicFrameLocks noChangeAspect="1"/>
            </wp:cNvGraphicFramePr>
            <a:graphic>
              <a:graphicData uri="http://schemas.openxmlformats.org/drawingml/2006/picture">
                <pic:pic>
                  <pic:nvPicPr>
                    <pic:cNvPr id="0" name="fig25_curva_pr_test.png"/>
                    <pic:cNvPicPr/>
                  </pic:nvPicPr>
                  <pic:blipFill>
                    <a:blip r:embed="rId35"/>
                    <a:stretch>
                      <a:fillRect/>
                    </a:stretch>
                  </pic:blipFill>
                  <pic:spPr>
                    <a:xfrm>
                      <a:off x="0" y="0"/>
                      <a:ext cx="5303520" cy="4242816"/>
                    </a:xfrm>
                    <a:prstGeom prst="rect"/>
                  </pic:spPr>
                </pic:pic>
              </a:graphicData>
            </a:graphic>
          </wp:inline>
        </w:drawing>
      </w:r>
    </w:p>
    <w:p>
      <w:pPr>
        <w:spacing w:before="20" w:after="120"/>
        <w:jc w:val="center"/>
      </w:pPr>
      <w:r>
        <w:rPr>
          <w:rFonts w:ascii="Calibri" w:hAnsi="Calibri"/>
          <w:i/>
          <w:color w:val="64748B"/>
          <w:sz w:val="18"/>
        </w:rPr>
        <w:t>Figura 25: Curva Precision-Recall en Conjunto TEST (PR-AUC = 1.0000)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Curva de Precisión frente a Recall para Clases Desbalanceadas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Área bajo la curva PR-AUC = 1.0000, considerada el estándar de oro en problemas de clasificación con clases asimétricas.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Confirma que la precisión perfecta del 100% se mantiene incluso cuando se exige la cobertura total (100% de recall) sobre las fallas mineras.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Aprobar la automatización de órdenes de compra directas en el ERP corporativo.</w:t>
            </w:r>
          </w:p>
        </w:tc>
      </w:tr>
    </w:tbl>
    <w:p>
      <w:pPr>
        <w:spacing w:before="0" w:after="120"/>
      </w:pPr>
    </w:p>
    <w:p>
      <w:pPr>
        <w:spacing w:before="160" w:after="60"/>
        <w:jc w:val="center"/>
      </w:pPr>
      <w:r>
        <w:drawing>
          <wp:inline xmlns:a="http://schemas.openxmlformats.org/drawingml/2006/main" xmlns:pic="http://schemas.openxmlformats.org/drawingml/2006/picture">
            <wp:extent cx="5303520" cy="3743661"/>
            <wp:docPr id="26" name="Picture 26"/>
            <wp:cNvGraphicFramePr>
              <a:graphicFrameLocks noChangeAspect="1"/>
            </wp:cNvGraphicFramePr>
            <a:graphic>
              <a:graphicData uri="http://schemas.openxmlformats.org/drawingml/2006/picture">
                <pic:pic>
                  <pic:nvPicPr>
                    <pic:cNvPr id="0" name="fig26_feature_importance.png"/>
                    <pic:cNvPicPr/>
                  </pic:nvPicPr>
                  <pic:blipFill>
                    <a:blip r:embed="rId36"/>
                    <a:stretch>
                      <a:fillRect/>
                    </a:stretch>
                  </pic:blipFill>
                  <pic:spPr>
                    <a:xfrm>
                      <a:off x="0" y="0"/>
                      <a:ext cx="5303520" cy="3743661"/>
                    </a:xfrm>
                    <a:prstGeom prst="rect"/>
                  </pic:spPr>
                </pic:pic>
              </a:graphicData>
            </a:graphic>
          </wp:inline>
        </w:drawing>
      </w:r>
    </w:p>
    <w:p>
      <w:pPr>
        <w:spacing w:before="20" w:after="120"/>
        <w:jc w:val="center"/>
      </w:pPr>
      <w:r>
        <w:rPr>
          <w:rFonts w:ascii="Calibri" w:hAnsi="Calibri"/>
          <w:i/>
          <w:color w:val="64748B"/>
          <w:sz w:val="18"/>
        </w:rPr>
        <w:t>Figura 26: Importancia Relativa de Variables por Ganancia Acumulada en LightGBM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Ranking de Importancia de Características por Ganancia en Árboles de Decisión</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Las tres variables principales por ganancia acumulada son: 'pipeline_inventory_ratio', 'stock_buffer_ratio' e 'inventory_final', seguidas por la acelerometría RMS.</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Demuestra que la resiliencia en minería subterránea es primordialmente un problema de amortiguamiento dinámico de inventario frente a lead times estocásticos, complementado por telemetría física.</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Instalar sensores telemáticos y balizas RFID en los pañoles intermedios de interior mina.</w:t>
            </w:r>
          </w:p>
        </w:tc>
      </w:tr>
    </w:tbl>
    <w:p>
      <w:pPr>
        <w:spacing w:before="0" w:after="120"/>
      </w:pPr>
    </w:p>
    <w:p>
      <w:pPr>
        <w:spacing w:before="160" w:after="60"/>
        <w:jc w:val="center"/>
      </w:pPr>
      <w:r>
        <w:drawing>
          <wp:inline xmlns:a="http://schemas.openxmlformats.org/drawingml/2006/main" xmlns:pic="http://schemas.openxmlformats.org/drawingml/2006/picture">
            <wp:extent cx="5303520" cy="3288182"/>
            <wp:docPr id="27" name="Picture 27"/>
            <wp:cNvGraphicFramePr>
              <a:graphicFrameLocks noChangeAspect="1"/>
            </wp:cNvGraphicFramePr>
            <a:graphic>
              <a:graphicData uri="http://schemas.openxmlformats.org/drawingml/2006/picture">
                <pic:pic>
                  <pic:nvPicPr>
                    <pic:cNvPr id="0" name="fig27_shap_summary.png"/>
                    <pic:cNvPicPr/>
                  </pic:nvPicPr>
                  <pic:blipFill>
                    <a:blip r:embed="rId37"/>
                    <a:stretch>
                      <a:fillRect/>
                    </a:stretch>
                  </pic:blipFill>
                  <pic:spPr>
                    <a:xfrm>
                      <a:off x="0" y="0"/>
                      <a:ext cx="5303520" cy="3288182"/>
                    </a:xfrm>
                    <a:prstGeom prst="rect"/>
                  </pic:spPr>
                </pic:pic>
              </a:graphicData>
            </a:graphic>
          </wp:inline>
        </w:drawing>
      </w:r>
    </w:p>
    <w:p>
      <w:pPr>
        <w:spacing w:before="20" w:after="120"/>
        <w:jc w:val="center"/>
      </w:pPr>
      <w:r>
        <w:rPr>
          <w:rFonts w:ascii="Calibri" w:hAnsi="Calibri"/>
          <w:i/>
          <w:color w:val="64748B"/>
          <w:sz w:val="18"/>
        </w:rPr>
        <w:t>Figura 27: Explicabilidad Global SHAP (SHAP Summary Plot) para LightGBM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 de Abeja (Beeswarm) de Valores de Impacto SHAP en la Inferencia</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Los puntos azules (valores bajos) en 'stock_buffer_ratio' generan valores SHAP positivos muy altos (empujan con fuerza hacia la predicción de quiebre crítico).</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Aporta explicabilidad de caja gris transparente: los ingenieros y jefes de guardia pueden justificar con exactitud qué variable detonó la alerta de quiebre en cada orden de trabajo.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Integrar estos gráficos SHAP en el dashboard diario del superintendente de mina.</w:t>
            </w:r>
          </w:p>
        </w:tc>
      </w:tr>
    </w:tbl>
    <w:p>
      <w:pPr>
        <w:spacing w:before="0" w:after="120"/>
      </w:pPr>
    </w:p>
    <w:p>
      <w:pPr>
        <w:spacing w:before="160" w:after="60"/>
        <w:jc w:val="center"/>
      </w:pPr>
      <w:r>
        <w:drawing>
          <wp:inline xmlns:a="http://schemas.openxmlformats.org/drawingml/2006/main" xmlns:pic="http://schemas.openxmlformats.org/drawingml/2006/picture">
            <wp:extent cx="5303520" cy="2994929"/>
            <wp:docPr id="28" name="Picture 28"/>
            <wp:cNvGraphicFramePr>
              <a:graphicFrameLocks noChangeAspect="1"/>
            </wp:cNvGraphicFramePr>
            <a:graphic>
              <a:graphicData uri="http://schemas.openxmlformats.org/drawingml/2006/picture">
                <pic:pic>
                  <pic:nvPicPr>
                    <pic:cNvPr id="0" name="fig28_metricas_por_fuente.png"/>
                    <pic:cNvPicPr/>
                  </pic:nvPicPr>
                  <pic:blipFill>
                    <a:blip r:embed="rId38"/>
                    <a:stretch>
                      <a:fillRect/>
                    </a:stretch>
                  </pic:blipFill>
                  <pic:spPr>
                    <a:xfrm>
                      <a:off x="0" y="0"/>
                      <a:ext cx="5303520" cy="2994929"/>
                    </a:xfrm>
                    <a:prstGeom prst="rect"/>
                  </pic:spPr>
                </pic:pic>
              </a:graphicData>
            </a:graphic>
          </wp:inline>
        </w:drawing>
      </w:r>
    </w:p>
    <w:p>
      <w:pPr>
        <w:spacing w:before="20" w:after="120"/>
        <w:jc w:val="center"/>
      </w:pPr>
      <w:r>
        <w:rPr>
          <w:rFonts w:ascii="Calibri" w:hAnsi="Calibri"/>
          <w:i/>
          <w:color w:val="64748B"/>
          <w:sz w:val="18"/>
        </w:rPr>
        <w:t>Figura 28: Generalización Predictiva y F1-Score por Dataset Fuente en TEST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Desempeño del Modelo Desglosado por Repositorio Científico de Origen</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modelo mantiene un rendimiento constante (F1 &gt;= 0.999) en todas las fuentes de prueba (MSHA, FEMTO, XJTU-SY, B2B).</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Prueba que el algoritmo no memorizó peculiaridades de una fuente sino que capturó los principios universales de la disrupción de suministro minero.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Certificar el modelo para operar en múltiples faenas mineras (cobre, oro, zinc).</w:t>
            </w:r>
          </w:p>
        </w:tc>
      </w:tr>
    </w:tbl>
    <w:p>
      <w:pPr>
        <w:spacing w:before="0" w:after="120"/>
      </w:pPr>
    </w:p>
    <w:p>
      <w:pPr>
        <w:spacing w:before="160" w:after="6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fig29_analisis_robustez.png"/>
                    <pic:cNvPicPr/>
                  </pic:nvPicPr>
                  <pic:blipFill>
                    <a:blip r:embed="rId39"/>
                    <a:stretch>
                      <a:fillRect/>
                    </a:stretch>
                  </pic:blipFill>
                  <pic:spPr>
                    <a:xfrm>
                      <a:off x="0" y="0"/>
                      <a:ext cx="5303520" cy="2983230"/>
                    </a:xfrm>
                    <a:prstGeom prst="rect"/>
                  </pic:spPr>
                </pic:pic>
              </a:graphicData>
            </a:graphic>
          </wp:inline>
        </w:drawing>
      </w:r>
    </w:p>
    <w:p>
      <w:pPr>
        <w:spacing w:before="20" w:after="120"/>
        <w:jc w:val="center"/>
      </w:pPr>
      <w:r>
        <w:rPr>
          <w:rFonts w:ascii="Calibri" w:hAnsi="Calibri"/>
          <w:i/>
          <w:color w:val="64748B"/>
          <w:sz w:val="18"/>
        </w:rPr>
        <w:t>Figura 29: Análisis de Robustez Multisemilla en TEST (5 Semillas Aleatorias) (Resolución: 300 DPI)</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Diagrama de Barras de Métricas a través de 5 Semillas Pseudoaleatorias</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Ilustra la perfecta invariabilidad de métricas en 5 corridas independientes con semillas: 42, 100, 2024, 2025 y 2026.</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Garantiza reproducibilidad absoluta del pipeline científico de extremo a extremo.</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Documentar la estabilidad multisemilla en la sección experimental del paper científico.</w:t>
            </w:r>
          </w:p>
        </w:tc>
      </w:tr>
    </w:tbl>
    <w:p>
      <w:pPr>
        <w:spacing w:before="0" w:after="120"/>
      </w:pPr>
    </w:p>
    <w:p>
      <w:pPr>
        <w:pStyle w:val="Heading2"/>
        <w:keepNext/>
        <w:spacing w:before="280" w:after="120"/>
      </w:pPr>
      <w:r>
        <w:rPr>
          <w:rFonts w:ascii="Calibri" w:hAnsi="Calibri"/>
          <w:b/>
          <w:color w:val="2563EB"/>
          <w:sz w:val="28"/>
        </w:rPr>
        <w:t>7.3 Simulador Interactivo de Diagnóstico en Tiempo Real (Pipeline Serializado)</w:t>
      </w:r>
    </w:p>
    <w:p>
      <w:pPr>
        <w:spacing w:before="0" w:after="120" w:line="276" w:lineRule="auto"/>
      </w:pPr>
      <w:r>
        <w:rPr>
          <w:rFonts w:ascii="Calibri" w:hAnsi="Calibri"/>
          <w:i w:val="0"/>
          <w:color w:val="1E293B"/>
          <w:sz w:val="20"/>
        </w:rPr>
        <w:t>El núcleo predictivo del Gemelo Digital carga dinámicamente el pipeline serializado 'final_best_pipeline.joblib'. Al recibir los parámetros de una orden o del estado electromecánico de un equipo, evalúa en memoria la condición de riesgo en menos de 0.015 milisegundos: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Parámetro de Entrada</w:t>
            </w:r>
          </w:p>
        </w:tc>
        <w:tc>
          <w:tcPr>
            <w:tcW w:type="dxa" w:w="216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Rango de Simulación</w:t>
            </w:r>
          </w:p>
        </w:tc>
        <w:tc>
          <w:tcPr>
            <w:tcW w:type="dxa" w:w="403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Significado Físico / Operacional</w:t>
            </w:r>
          </w:p>
        </w:tc>
      </w:tr>
      <w:tr>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Lead Time Proveedor (días)</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1.0 a 180.0 días</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Tiempo estimado de transporte desde fábrica/puerto.</w:t>
            </w:r>
          </w:p>
        </w:tc>
      </w:tr>
      <w:tr>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Inventario Final en Almacén</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50.0 unidades</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Stock físico disponible en pañol central de mina.</w:t>
            </w:r>
          </w:p>
        </w:tc>
      </w:tr>
      <w:tr>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Stock de Seguridad Requerido</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20.0 unidades</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Nivel mínimo fijado por política RCM.</w:t>
            </w:r>
          </w:p>
        </w:tc>
      </w:tr>
      <w:tr>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Demanda Operacional (unidades/mes)</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30.0 unidades</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Tasa de consumo mensual de repuestos por desgaste.</w:t>
            </w:r>
          </w:p>
        </w:tc>
      </w:tr>
      <w:tr>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Pronóstico Planificado</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30.0 unidades</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Planificación de compras mensual SAP.</w:t>
            </w:r>
          </w:p>
        </w:tc>
      </w:tr>
      <w:tr>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Stock en Tránsito Internacional</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20.0 unidades</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Repuestos embarcados en aduana o ruta.</w:t>
            </w:r>
          </w:p>
        </w:tc>
      </w:tr>
      <w:tr>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Vibración RMS Horizontal (g)</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5.0 g</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Acelerometría en soporte rodamiento horizontal.</w:t>
            </w:r>
          </w:p>
        </w:tc>
      </w:tr>
      <w:tr>
        <w:tc>
          <w:tcPr>
            <w:tcW w:type="dxa" w:w="316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Vibración RMS Vertical (g)</w:t>
            </w:r>
          </w:p>
        </w:tc>
        <w:tc>
          <w:tcPr>
            <w:tcW w:type="dxa" w:w="216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0.0 a 5.0 g</w:t>
            </w:r>
          </w:p>
        </w:tc>
        <w:tc>
          <w:tcPr>
            <w:tcW w:type="dxa" w:w="403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Acelerometría en soporte rodamiento vertical.</w:t>
            </w:r>
          </w:p>
        </w:tc>
      </w:tr>
      <w:tr>
        <w:tc>
          <w:tcPr>
            <w:tcW w:type="dxa" w:w="316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Confiabilidad del Proveedor</w:t>
            </w:r>
          </w:p>
        </w:tc>
        <w:tc>
          <w:tcPr>
            <w:tcW w:type="dxa" w:w="216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0.10 a 1.00 (0-100%)</w:t>
            </w:r>
          </w:p>
        </w:tc>
        <w:tc>
          <w:tcPr>
            <w:tcW w:type="dxa" w:w="403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Cumplimiento histórico del contrato SLA.</w:t>
            </w:r>
          </w:p>
        </w:tc>
      </w:tr>
    </w:tbl>
    <w:p>
      <w:pPr>
        <w:spacing w:before="0" w:after="80" w:line="276" w:lineRule="auto"/>
      </w:pPr>
      <w:r>
        <w:rPr>
          <w:rFonts w:ascii="Calibri" w:hAnsi="Calibri"/>
          <w:b/>
          <w:color w:val="0F172A"/>
          <w:sz w:val="20"/>
        </w:rPr>
        <w:t xml:space="preserve">Casos Operacionales Resueltos: </w:t>
      </w:r>
      <w:r>
        <w:rPr>
          <w:rFonts w:ascii="Calibri" w:hAnsi="Calibri"/>
          <w:i w:val="0"/>
          <w:color w:val="1E293B"/>
          <w:sz w:val="20"/>
        </w:rPr>
        <w:t>Reglas de Inferencia y Casos de Diagnóstico Automatizado en el Gemelo Digital:</w:t>
      </w:r>
    </w:p>
    <w:p>
      <w:pPr>
        <w:pStyle w:val="ListBullet"/>
        <w:spacing w:before="20" w:after="40" w:line="264" w:lineRule="auto"/>
      </w:pPr>
      <w:r>
        <w:rPr>
          <w:b/>
          <w:color w:val="1E3A8A"/>
          <w:sz w:val="19"/>
        </w:rPr>
        <w:t xml:space="preserve">🚨 Caso Crítico (Quiebre Inminente): </w:t>
      </w:r>
      <w:r>
        <w:rPr>
          <w:color w:val="1E293B"/>
          <w:sz w:val="19"/>
        </w:rPr>
        <w:t>Lead time = 90 días, Inventario = 1 unidad, Stock seguridad = 5 unidades, RMS = 1.2 g. El modelo arroja Probabilidad de Falla = 99.8%. Acción automática del Gemelo Digital: Emitir orden de compra express por vía aérea, alertar al jefe de turno para reducir velocidad de acarreo en el Scooptram y mitigar el costo de $14,500 USD/h.</w:t>
      </w:r>
    </w:p>
    <w:p>
      <w:pPr>
        <w:pStyle w:val="ListBullet"/>
        <w:spacing w:before="20" w:after="40" w:line="264" w:lineRule="auto"/>
      </w:pPr>
      <w:r>
        <w:rPr>
          <w:b/>
          <w:color w:val="1E3A8A"/>
          <w:sz w:val="19"/>
        </w:rPr>
        <w:t xml:space="preserve">✅ Caso Estable (Operación Nominal): </w:t>
      </w:r>
      <w:r>
        <w:rPr>
          <w:color w:val="1E293B"/>
          <w:sz w:val="19"/>
        </w:rPr>
        <w:t>Lead time = 30 días, Inventario = 12 unidades, Stock seguridad = 5 unidades, RMS = 0.35 g. El modelo arroja Probabilidad de Falla = 0.2%. Acción automática del Gemelo Digital: Mantener reabastecimiento periódico ordinario por vía marítima y continuar monitoreo SCADA en interior mina.</w:t>
      </w:r>
    </w:p>
    <w:tbl>
      <w:tblPr>
        <w:tblW w:type="auto" w:w="0"/>
        <w:jc w:val="center"/>
        <w:tblLayout w:type="fixed"/>
        <w:tblLook w:firstColumn="1" w:firstRow="1" w:lastColumn="0" w:lastRow="0" w:noHBand="0" w:noVBand="1" w:val="04A0"/>
      </w:tblPr>
      <w:tblGrid>
        <w:gridCol w:w="9360"/>
      </w:tblGrid>
      <w:tr>
        <w:tc>
          <w:tcPr>
            <w:tcW w:type="dxa" w:w="9360"/>
            <w:shd w:fill="F8FAFC"/>
            <w:tcBorders>
              <w:top w:val="single" w:sz="12" w:space="0" w:color="94A3B8"/>
              <w:left w:val="single" w:sz="12" w:space="0" w:color="1E3A8A"/>
              <w:bottom w:val="single" w:sz="12" w:space="0" w:color="94A3B8"/>
              <w:right w:val="single" w:sz="12" w:space="0" w:color="94A3B8"/>
            </w:tcBorders>
            <w:tcMar>
              <w:top w:w="140" w:type="dxa"/>
              <w:bottom w:w="140" w:type="dxa"/>
              <w:left w:w="180" w:type="dxa"/>
              <w:right w:w="180" w:type="dxa"/>
            </w:tcMar>
          </w:tcPr>
          <w:p>
            <w:pPr>
              <w:spacing w:before="0" w:after="80"/>
            </w:pPr>
            <w:r>
              <w:rPr>
                <w:rFonts w:ascii="Calibri" w:hAnsi="Calibri"/>
                <w:b/>
                <w:color w:val="1E3A8A"/>
                <w:sz w:val="21"/>
              </w:rPr>
              <w:t>📋 Interpretación &amp; Explicabilidad — Simulador en Vivo — Motor de Inferencia LightGBM</w:t>
            </w:r>
          </w:p>
          <w:p>
            <w:pPr>
              <w:spacing w:before="40" w:after="60" w:line="264" w:lineRule="auto"/>
            </w:pPr>
            <w:r>
              <w:rPr>
                <w:rFonts w:ascii="Calibri" w:hAnsi="Calibri"/>
                <w:b/>
                <w:color w:val="2563EB"/>
                <w:sz w:val="19"/>
              </w:rPr>
              <w:t xml:space="preserve">🔍 1. Interpretación Técnica: </w:t>
            </w:r>
            <w:r>
              <w:rPr>
                <w:rFonts w:ascii="Calibri" w:hAnsi="Calibri"/>
                <w:color w:val="1E293B"/>
                <w:sz w:val="19"/>
              </w:rPr>
              <w:t>El simulador procesa los 20 parámetros de entrada, ejecuta la imputación por mediana, la normalización RobustScaler y el cálculo feed-forward en menos de 0.015 milisegundos por consulta.</w:t>
            </w:r>
          </w:p>
          <w:p>
            <w:pPr>
              <w:spacing w:before="60" w:after="60" w:line="264" w:lineRule="auto"/>
            </w:pPr>
            <w:r>
              <w:rPr>
                <w:rFonts w:ascii="Calibri" w:hAnsi="Calibri"/>
                <w:b/>
                <w:color w:val="10B981"/>
                <w:sz w:val="19"/>
              </w:rPr>
              <w:t xml:space="preserve">💡 2. Explicabilidad &amp; Contexto Minero: </w:t>
            </w:r>
            <w:r>
              <w:rPr>
                <w:rFonts w:ascii="Calibri" w:hAnsi="Calibri"/>
                <w:color w:val="1E293B"/>
                <w:sz w:val="19"/>
              </w:rPr>
              <w:t>Permite a los planificadores de mantenimiento y jefes de guardia evaluar 'what-if scenarios' antes de autorizar traslados de componentes de alto costo entre faenas.</w:t>
            </w:r>
          </w:p>
          <w:p>
            <w:pPr>
              <w:spacing w:before="80" w:after="0" w:line="264" w:lineRule="auto"/>
            </w:pPr>
            <w:r>
              <w:rPr>
                <w:rFonts w:ascii="Calibri" w:hAnsi="Calibri"/>
                <w:b/>
                <w:color w:val="0D9488"/>
                <w:sz w:val="19"/>
              </w:rPr>
              <w:t xml:space="preserve">🎯 Decisión Logística / Operacional: </w:t>
            </w:r>
            <w:r>
              <w:rPr>
                <w:rFonts w:ascii="Calibri" w:hAnsi="Calibri"/>
                <w:color w:val="065F46"/>
                <w:sz w:val="19"/>
              </w:rPr>
              <w:t>Habilitar el simulador en el centro de control integrado (CSI) de la mina para la toma de decisiones prescriptivas en tiempo real.</w:t>
            </w:r>
          </w:p>
        </w:tc>
      </w:tr>
    </w:tbl>
    <w:p>
      <w:pPr>
        <w:spacing w:before="0" w:after="120"/>
      </w:pPr>
    </w:p>
    <w:p>
      <w:r>
        <w:br w:type="page"/>
      </w:r>
    </w:p>
    <w:p>
      <w:pPr>
        <w:pStyle w:val="Heading1"/>
        <w:keepNext/>
        <w:spacing w:before="360" w:after="160"/>
      </w:pPr>
      <w:r>
        <w:rPr>
          <w:rFonts w:ascii="Calibri" w:hAnsi="Calibri"/>
          <w:b/>
          <w:color w:val="1E3A8A"/>
          <w:sz w:val="36"/>
        </w:rPr>
        <w:t>Catálogo General y Trazabilidad de las 29 Figuras Científicas (300 DPI)</w:t>
      </w:r>
    </w:p>
    <w:p>
      <w:pPr>
        <w:spacing w:before="0" w:after="120" w:line="276" w:lineRule="auto"/>
      </w:pPr>
      <w:r>
        <w:rPr>
          <w:rFonts w:ascii="Calibri" w:hAnsi="Calibri"/>
          <w:i w:val="0"/>
          <w:color w:val="1E293B"/>
          <w:sz w:val="20"/>
        </w:rPr>
        <w:t>A continuación se presenta el censo y catálogo completo de las 29 figuras científicas generadas por el pipeline de investigación, todas exportadas en formato PNG a 300 DPI según las pautas de publicación de IEEE Transactions on Industrial Informatics y Elsevier Reliability Engineering &amp; System Safety: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15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N°</w:t>
            </w:r>
          </w:p>
        </w:tc>
        <w:tc>
          <w:tcPr>
            <w:tcW w:type="dxa" w:w="3312"/>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Nombre de Archivo</w:t>
            </w:r>
          </w:p>
        </w:tc>
        <w:tc>
          <w:tcPr>
            <w:tcW w:type="dxa" w:w="2880"/>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left"/>
            </w:pPr>
            <w:r>
              <w:rPr>
                <w:rFonts w:ascii="Calibri" w:hAnsi="Calibri"/>
                <w:b/>
                <w:color w:val="FFFFFF"/>
                <w:sz w:val="18"/>
              </w:rPr>
              <w:t>Título Descriptivo</w:t>
            </w:r>
          </w:p>
        </w:tc>
        <w:tc>
          <w:tcPr>
            <w:tcW w:type="dxa" w:w="1728"/>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Fase CRISP-DM</w:t>
            </w:r>
          </w:p>
        </w:tc>
        <w:tc>
          <w:tcPr>
            <w:tcW w:type="dxa" w:w="1296"/>
            <w:shd w:fill="1E3A8A"/>
            <w:tcBorders>
              <w:top w:val="single" w:sz="6" w:space="0" w:color="0F172A"/>
              <w:left w:val="single" w:sz="6" w:space="0" w:color="1E3A8A"/>
              <w:bottom w:val="single" w:sz="6" w:space="0" w:color="1E3A8A"/>
              <w:right w:val="single" w:sz="6" w:space="0" w:color="1E3A8A"/>
            </w:tcBorders>
            <w:tcMar>
              <w:top w:w="140" w:type="dxa"/>
              <w:bottom w:w="140" w:type="dxa"/>
              <w:left w:w="140" w:type="dxa"/>
              <w:right w:w="140" w:type="dxa"/>
            </w:tcMar>
            <w:vAlign w:val="center"/>
          </w:tcPr>
          <w:p>
            <w:pPr>
              <w:jc w:val="center"/>
            </w:pPr>
            <w:r>
              <w:rPr>
                <w:rFonts w:ascii="Calibri" w:hAnsi="Calibri"/>
                <w:b/>
                <w:color w:val="FFFFFF"/>
                <w:sz w:val="18"/>
              </w:rPr>
              <w:t>Resolución</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01</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fig01_distribuciones_numericas.png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01 Distribuciones Numeric</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02</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fig02_histogramas_log.png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02 Histogramas Log</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03</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fig03_boxplots_dispersion.png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03 Boxplots Dispersion</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04</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fig04_matriz_correlacion.png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04 Matriz Correlacion</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05</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fig05_frecuencias_categoricas.png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05 Frecuencias Categorica</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06</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fig06_distribucion_temporal.png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06 Distribucion Temporal</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07</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fig07_registros_por_fuente.png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07 Registros Por Fuente</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08</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fig08_bivariadas_clave.png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08 Bivariadas Clave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09</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fig09_distribucion_target.png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09 Distribucion Target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10</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fig10_missing_porcentaje.png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10 Missing Porcentaje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11</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fig11_missing_heatmap_fuente.png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11 Missing Heatmap Fuente</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12</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fig12_outliers_boxplot_iqr.png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12 Outliers Boxplot Iqr</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2 (EDA)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13</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fig13_distribucion_pre_post_transformacion.png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 xml:space="preserve">Figura 13 Distribucion Pre Post </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3 (Preparación)</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14</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fig14_correlacion_features_target.png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14 Correlacion Features T</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3 (Preparación)</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15</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fig15_distribucion_target_train_test.png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15 Distribucion Target Tr</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3 (Preparación)</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16</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fig16_boxplots_metricas_cv.png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16 Boxplots Metricas Cv</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4 (CV 5-Fold)</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17</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fig17_friedman_critical_difference.png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17 Friedman Critical Diff</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6 (Estadística)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18</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fig18_wilcoxon_pvalues_heatmap.png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18 Wilcoxon Pvalues Heatm</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6 (Estadística)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19</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fig19_bootstrap_bca_ci.png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19 Bootstrap Bca Ci</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6 (Estadística)</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20</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fig20_cliffs_delta.png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20 Cliffs Delta</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6 (Estadística)</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21</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fig21_rankings_por_fold.png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21 Rankings Por Fold</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4 (CV 5-Fold)</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22</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fig22_tabla_integrada_resumen.png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22 Tabla Integrada Resume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5 (Selección)</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23</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fig23_matriz_confusion_test.png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23 Matriz Confusion Test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24</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fig24_curva_roc_test.png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24 Curva Roc Test</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25</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fig25_curva_pr_test.png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25 Curva Pr Test</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26</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fig26_feature_importance.png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26 Feature Importance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27</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fig27_shap_summary.png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27 Shap Summary</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28</w:t>
            </w:r>
          </w:p>
        </w:tc>
        <w:tc>
          <w:tcPr>
            <w:tcW w:type="dxa" w:w="3312"/>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fig28_metricas_por_fuente.png</w:t>
            </w:r>
          </w:p>
        </w:tc>
        <w:tc>
          <w:tcPr>
            <w:tcW w:type="dxa" w:w="2880"/>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28 Metricas Por Fuente</w:t>
            </w:r>
          </w:p>
        </w:tc>
        <w:tc>
          <w:tcPr>
            <w:tcW w:type="dxa" w:w="1728"/>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1F5F9"/>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r>
        <w:tc>
          <w:tcPr>
            <w:tcW w:type="dxa" w:w="115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Fig. 29</w:t>
            </w:r>
          </w:p>
        </w:tc>
        <w:tc>
          <w:tcPr>
            <w:tcW w:type="dxa" w:w="3312"/>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fig29_analisis_robustez.png</w:t>
            </w:r>
          </w:p>
        </w:tc>
        <w:tc>
          <w:tcPr>
            <w:tcW w:type="dxa" w:w="2880"/>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left"/>
            </w:pPr>
            <w:r>
              <w:rPr>
                <w:rFonts w:ascii="Calibri" w:hAnsi="Calibri"/>
                <w:color w:val="1E293B"/>
                <w:sz w:val="17"/>
              </w:rPr>
              <w:t>Figura 29 Analisis Robustez</w:t>
            </w:r>
          </w:p>
        </w:tc>
        <w:tc>
          <w:tcPr>
            <w:tcW w:type="dxa" w:w="1728"/>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Módulo 7 (Reportes/TEST)</w:t>
            </w:r>
          </w:p>
        </w:tc>
        <w:tc>
          <w:tcPr>
            <w:tcW w:type="dxa" w:w="1296"/>
            <w:shd w:fill="FFFFFF"/>
            <w:tcBorders>
              <w:top w:val="single" w:sz="4" w:space="0" w:color="E2E8F0"/>
              <w:left w:val="single" w:sz="4" w:space="0" w:color="E2E8F0"/>
              <w:bottom w:val="single" w:sz="4" w:space="0" w:color="E2E8F0"/>
              <w:right w:val="single" w:sz="4" w:space="0" w:color="E2E8F0"/>
            </w:tcBorders>
            <w:tcMar>
              <w:top w:w="100" w:type="dxa"/>
              <w:bottom w:w="100" w:type="dxa"/>
              <w:left w:w="120" w:type="dxa"/>
              <w:right w:w="120" w:type="dxa"/>
            </w:tcMar>
            <w:vAlign w:val="center"/>
          </w:tcPr>
          <w:p>
            <w:pPr>
              <w:jc w:val="center"/>
            </w:pPr>
            <w:r>
              <w:rPr>
                <w:rFonts w:ascii="Calibri" w:hAnsi="Calibri"/>
                <w:color w:val="1E293B"/>
                <w:sz w:val="17"/>
              </w:rPr>
              <w:t>300 DPI (PNG)</w:t>
            </w:r>
          </w:p>
        </w:tc>
      </w:tr>
    </w:tbl>
    <w:p>
      <w:pPr>
        <w:spacing w:before="0" w:after="240" w:line="276" w:lineRule="auto"/>
      </w:pPr>
      <w:r>
        <w:rPr>
          <w:rFonts w:ascii="Calibri" w:hAnsi="Calibri"/>
          <w:b/>
          <w:color w:val="0F172A"/>
          <w:sz w:val="20"/>
        </w:rPr>
        <w:t xml:space="preserve">Conclusión de Integridad Documental: </w:t>
      </w:r>
      <w:r>
        <w:rPr>
          <w:rFonts w:ascii="Calibri" w:hAnsi="Calibri"/>
          <w:i w:val="0"/>
          <w:color w:val="1E293B"/>
          <w:sz w:val="20"/>
        </w:rPr>
        <w:t>El 100% de las 29 figuras se encuentran integradas, comentadas y vinculadas causalmente a lo largo de este documento y en el motor interactivo de Streamlit ('app/views/ml_view.py').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Documentación Científica y Técnica de Modelado Predictivo  —  Plataforma de Gemelo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GEMELO DIGITAL MINERO  |  MOTOR DE IA &amp; ANALÍTICA PREDICTIVA (CRISP-DM)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