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产品需求说明（演示）</w:t>
      </w:r>
    </w:p>
    <w:p>
      <w:pPr>
        <w:pStyle w:val="Heading1"/>
      </w:pPr>
      <w:r>
        <w:t>一、需求背景</w:t>
      </w:r>
    </w:p>
    <w:p>
      <w:r>
        <w:t>为提升企业知识检索效率，计划建设统一知识库，支持文档导入、权限配置与智能问答。</w:t>
      </w:r>
    </w:p>
    <w:p>
      <w:pPr>
        <w:pStyle w:val="Heading1"/>
      </w:pPr>
      <w:r>
        <w:t>二、需求范围</w:t>
      </w:r>
    </w:p>
    <w:p>
      <w:pPr>
        <w:pStyle w:val="ListBullet"/>
      </w:pPr>
      <w:r>
        <w:t>支持 PDF、Word、Markdown、TXT 文档导入；</w:t>
      </w:r>
    </w:p>
    <w:p>
      <w:pPr>
        <w:pStyle w:val="ListBullet"/>
      </w:pPr>
      <w:r>
        <w:t>支持按部门、角色、个人配置知识访问权限；</w:t>
      </w:r>
    </w:p>
    <w:p>
      <w:pPr>
        <w:pStyle w:val="ListBullet"/>
      </w:pPr>
      <w:r>
        <w:t>支持 AI 问答并展示引用来源；</w:t>
      </w:r>
    </w:p>
    <w:p>
      <w:pPr>
        <w:pStyle w:val="ListBullet"/>
      </w:pPr>
      <w:r>
        <w:t>支持高频问题沉淀为 FAQ。</w:t>
      </w:r>
    </w:p>
    <w:p>
      <w:pPr>
        <w:pStyle w:val="Heading1"/>
      </w:pPr>
      <w:r>
        <w:t>三、验收标准</w:t>
      </w:r>
    </w:p>
    <w:p>
      <w:r>
        <w:t>导入后 1 分钟内可检索；未授权内容不出现在回答中；问答平均响应时间低于 2 秒。</w:t>
      </w:r>
    </w:p>
    <w:p>
      <w:pPr>
        <w:pStyle w:val="Heading1"/>
      </w:pPr>
      <w:r>
        <w:t>四、里程碑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交付</w:t>
            </w:r>
          </w:p>
        </w:tc>
      </w:tr>
      <w:tr>
        <w:tc>
          <w:tcPr>
            <w:tcW w:type="dxa" w:w="2880"/>
          </w:tcPr>
          <w:p>
            <w:r>
              <w:t>需求评审</w:t>
            </w:r>
          </w:p>
        </w:tc>
        <w:tc>
          <w:tcPr>
            <w:tcW w:type="dxa" w:w="2880"/>
          </w:tcPr>
          <w:p>
            <w:r>
              <w:t>第 1 周</w:t>
            </w:r>
          </w:p>
        </w:tc>
        <w:tc>
          <w:tcPr>
            <w:tcW w:type="dxa" w:w="2880"/>
          </w:tcPr>
          <w:p>
            <w:r>
              <w:t>PRD 定稿</w:t>
            </w:r>
          </w:p>
        </w:tc>
      </w:tr>
      <w:tr>
        <w:tc>
          <w:tcPr>
            <w:tcW w:type="dxa" w:w="2880"/>
          </w:tcPr>
          <w:p>
            <w:r>
              <w:t>开发联调</w:t>
            </w:r>
          </w:p>
        </w:tc>
        <w:tc>
          <w:tcPr>
            <w:tcW w:type="dxa" w:w="2880"/>
          </w:tcPr>
          <w:p>
            <w:r>
              <w:t>第 2-4 周</w:t>
            </w:r>
          </w:p>
        </w:tc>
        <w:tc>
          <w:tcPr>
            <w:tcW w:type="dxa" w:w="2880"/>
          </w:tcPr>
          <w:p>
            <w:r>
              <w:t>可演示版本</w:t>
            </w:r>
          </w:p>
        </w:tc>
      </w:tr>
      <w:tr>
        <w:tc>
          <w:tcPr>
            <w:tcW w:type="dxa" w:w="2880"/>
          </w:tcPr>
          <w:p>
            <w:r>
              <w:t>验收上线</w:t>
            </w:r>
          </w:p>
        </w:tc>
        <w:tc>
          <w:tcPr>
            <w:tcW w:type="dxa" w:w="2880"/>
          </w:tcPr>
          <w:p>
            <w:r>
              <w:t>第 5 周</w:t>
            </w:r>
          </w:p>
        </w:tc>
        <w:tc>
          <w:tcPr>
            <w:tcW w:type="dxa" w:w="2880"/>
          </w:tcPr>
          <w:p>
            <w:r>
              <w:t>验收报告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