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CONCLUSIONES</w:t>
      </w:r>
    </w:p>
    <w:p/>
    <w:p>
      <w:pPr>
        <w:pStyle w:val="Heading2"/>
      </w:pPr>
      <w:r>
        <w:rPr>
          <w:b/>
          <w:bCs/>
        </w:rPr>
        <w:t xml:space="preserve">CONCLUSIÓN CAPÍTULO I — PLAN DE ADMINISTRACIÓN DE PROYECTO DE SOFTWARE (PAPS)</w:t>
      </w:r>
    </w:p>
    <w:p>
      <w:pPr>
        <w:spacing w:after="80" w:before="80"/>
        <w:jc w:val="both"/>
      </w:pPr>
      <w:r>
        <w:rPr>
          <w:rFonts w:ascii="Arial" w:cs="Arial" w:eastAsia="Arial" w:hAnsi="Arial"/>
          <w:sz w:val="24"/>
          <w:szCs w:val="24"/>
        </w:rPr>
        <w:t xml:space="preserve">El Capítulo I sentó las bases formales sobre las cuales se estructuró y ejecutó el proyecto de desarrollo del sistema FARMA CENTER. A partir del análisis de la situación actual de la farmacia, se identificó con claridad que la ausencia de un sistema de gestión centralizado generaba pérdidas económicas directas: productos vencidos sin control, inconsistencias de inventario, pérdida de información de ventas y una toma de decisiones basada en datos incompletos. Esta problemática justificó plenamente el desarrollo de una solución ERP a medida.</w:t>
      </w:r>
    </w:p>
    <w:p>
      <w:pPr>
        <w:spacing w:after="80" w:before="80"/>
        <w:jc w:val="both"/>
      </w:pPr>
      <w:r>
        <w:rPr>
          <w:rFonts w:ascii="Arial" w:cs="Arial" w:eastAsia="Arial" w:hAnsi="Arial"/>
          <w:sz w:val="24"/>
          <w:szCs w:val="24"/>
        </w:rPr>
        <w:t xml:space="preserve">El análisis comparativo de sistemas similares (UniCenta oPOS y GNU Health) mediante métricas de Puntos de Función de Albrecht y métricas orientadas al tamaño permitió establecer un punto de referencia objetivo para dimensionar el alcance real del proyecto. FARMA CENTER supera a ambos referentes en funcionalidad específica para farmacias bolivianas, al integrar módulos de predicción de demanda con Machine Learning, gestión de facturación electrónica, caja diaria y aplicación móvil nativa en un único sistema integrado.</w:t>
      </w:r>
    </w:p>
    <w:p>
      <w:pPr>
        <w:spacing w:after="80" w:before="80"/>
        <w:jc w:val="both"/>
      </w:pPr>
      <w:r>
        <w:rPr>
          <w:rFonts w:ascii="Arial" w:cs="Arial" w:eastAsia="Arial" w:hAnsi="Arial"/>
          <w:sz w:val="24"/>
          <w:szCs w:val="24"/>
        </w:rPr>
        <w:t xml:space="preserve">Las estimaciones del proyecto mediante los modelos COCOMO II, la Ecuación del Software y Planning Poker demostraron coherencia entre sí, validando la viabilidad del plan de trabajo dentro del cronograma definido con metodología SCRUM. El análisis de riesgos identificó los principales vectores de amenaza (riesgo técnico, riesgo de alcance y riesgo de equipo) y estableció planes de mitigación concretos que se activaron preventivamente durante el desarrollo.</w:t>
      </w:r>
    </w:p>
    <w:p>
      <w:pPr>
        <w:spacing w:after="80" w:before="80"/>
        <w:jc w:val="both"/>
      </w:pPr>
      <w:r>
        <w:rPr>
          <w:rFonts w:ascii="Arial" w:cs="Arial" w:eastAsia="Arial" w:hAnsi="Arial"/>
          <w:sz w:val="24"/>
          <w:szCs w:val="24"/>
        </w:rPr>
        <w:t xml:space="preserve">En conclusión, el PAPS demostró que el proyecto era técnicamente viable, económicamente justificable y organizacionalmente gestionable bajo el marco SCRUM adoptado, proporcionando al equipo una hoja de ruta clara desde el inicio hasta la entrega del sistema. La planificación detallada en este capítulo fue determinante para que el desarrollo se completara dentro del tiempo y alcance previstos.</w:t>
      </w:r>
    </w:p>
    <w:p/>
    <w:p>
      <w:pPr>
        <w:pStyle w:val="Heading2"/>
      </w:pPr>
      <w:r>
        <w:rPr>
          <w:b/>
          <w:bCs/>
        </w:rPr>
        <w:t xml:space="preserve">CONCLUSIÓN CAPÍTULO II — PLAN DE ASEGURAMIENTO DE LA CALIDAD DEL SOFTWARE (SQAP)</w:t>
      </w:r>
    </w:p>
    <w:p>
      <w:pPr>
        <w:spacing w:after="80" w:before="80"/>
        <w:jc w:val="both"/>
      </w:pPr>
      <w:r>
        <w:rPr>
          <w:rFonts w:ascii="Arial" w:cs="Arial" w:eastAsia="Arial" w:hAnsi="Arial"/>
          <w:sz w:val="24"/>
          <w:szCs w:val="24"/>
        </w:rPr>
        <w:t xml:space="preserve">El Capítulo II formalizó el Plan de Aseguramiento de la Calidad del Software (SQAP) del sistema FARMA CENTER, estableciendo el conjunto de procedimientos, estándares y métricas que garantizan que cada entregable del proyecto cumpla con los requisitos de calidad acordados antes de su integración al sistema productivo. La implementación del SQAP desde el Sprint 0 permitió incorporar la calidad como un atributo intrínseco del proceso de desarrollo, no como una actividad de verificación posterior.</w:t>
      </w:r>
    </w:p>
    <w:p>
      <w:pPr>
        <w:spacing w:after="80" w:before="80"/>
        <w:jc w:val="both"/>
      </w:pPr>
      <w:r>
        <w:rPr>
          <w:rFonts w:ascii="Arial" w:cs="Arial" w:eastAsia="Arial" w:hAnsi="Arial"/>
          <w:sz w:val="24"/>
          <w:szCs w:val="24"/>
        </w:rPr>
        <w:t xml:space="preserve">El SQAP definió criterios de aceptación explícitos para cada módulo funcional del sistema, incluyendo cobertura mínima de pruebas unitarias, ausencia de vulnerabilidades críticas detectadas por OWASP ZAP y tiempo de respuesta de la API por debajo de los 200 ms bajo carga estándar. Estos criterios, vinculados directamente a los objetivos de negocio de FARMA CENTER, aseguraron que la calidad fuera medible y verificable en cada sprint.</w:t>
      </w:r>
    </w:p>
    <w:p>
      <w:pPr>
        <w:spacing w:after="80" w:before="80"/>
        <w:jc w:val="both"/>
      </w:pPr>
      <w:r>
        <w:rPr>
          <w:rFonts w:ascii="Arial" w:cs="Arial" w:eastAsia="Arial" w:hAnsi="Arial"/>
          <w:sz w:val="24"/>
          <w:szCs w:val="24"/>
        </w:rPr>
        <w:t xml:space="preserve">La adopción de prácticas de revisión de código, integración de pruebas automatizadas con pytest y la documentación de los reportes de prueba en cada sprint permitió al equipo detectar y corregir defectos en fases tempranas, reduciendo el costo de corrección y garantizando la estabilidad del sistema en producción. El SQAP también establece el marco para el mantenimiento evolutivo del sistema una vez desplegado.</w:t>
      </w:r>
    </w:p>
    <w:p>
      <w:pPr>
        <w:spacing w:after="80" w:before="80"/>
        <w:jc w:val="both"/>
      </w:pPr>
      <w:r>
        <w:rPr>
          <w:rFonts w:ascii="Arial" w:cs="Arial" w:eastAsia="Arial" w:hAnsi="Arial"/>
          <w:sz w:val="24"/>
          <w:szCs w:val="24"/>
        </w:rPr>
        <w:t xml:space="preserve">En conclusión, el SQAP de FARMA CENTER constituye el documento rector de la calidad del proyecto, garantizando que el sistema entregado no solo funcione correctamente, sino que lo haga de forma segura, eficiente y mantenible. Su aplicación disciplinada a lo largo de los cuatro sprints fue uno de los factores clave que permitió entregar un producto confiable y alineado con los estándares de la industria del software.</w:t>
      </w:r>
    </w:p>
    <w:p/>
    <w:p>
      <w:pPr>
        <w:pStyle w:val="Heading2"/>
      </w:pPr>
      <w:r>
        <w:rPr>
          <w:b/>
          <w:bCs/>
        </w:rPr>
        <w:t xml:space="preserve">CONCLUSIÓN CAPÍTULO III — PROCESO DE DESARROLLO CON SCRUM</w:t>
      </w:r>
    </w:p>
    <w:p>
      <w:pPr>
        <w:spacing w:after="80" w:before="80"/>
        <w:jc w:val="both"/>
      </w:pPr>
      <w:r>
        <w:rPr>
          <w:rFonts w:ascii="Arial" w:cs="Arial" w:eastAsia="Arial" w:hAnsi="Arial"/>
          <w:sz w:val="24"/>
          <w:szCs w:val="24"/>
        </w:rPr>
        <w:t xml:space="preserve">El Capítulo III documentó el proceso de desarrollo iterativo e incremental del sistema FARMA CENTER mediante la metodología SCRUM, organizado en un Sprint 0 de planificación inicial y cuatro sprints de desarrollo. Esta estructura permitió al equipo entregar valor funcional al cliente en cada iteración, manteniendo la visibilidad del progreso y la capacidad de adaptación ante cambios de requisitos durante el desarrollo.</w:t>
      </w:r>
    </w:p>
    <w:p>
      <w:pPr>
        <w:spacing w:after="80" w:before="80"/>
        <w:jc w:val="both"/>
      </w:pPr>
      <w:r>
        <w:rPr>
          <w:rFonts w:ascii="Arial" w:cs="Arial" w:eastAsia="Arial" w:hAnsi="Arial"/>
          <w:sz w:val="24"/>
          <w:szCs w:val="24"/>
        </w:rPr>
        <w:t xml:space="preserve">El Sprint 0 estableció los fundamentos técnicos del proyecto: la definición del equipo SCRUM con sus roles (Product Owner, Scrum Master y equipo de desarrollo), el objetivo del producto, la infraestructura tecnológica de desarrollo (Django 5 + DRF, React 18 + Vite, React Native + Expo SDK 52, PostgreSQL 15, Celery + Redis), el modelo de contexto inicial, la arquitectura de microservicios y el Product Backlog completo priorizado. Esta inversión en planificación temprana fue determinante para la coherencia técnica de los sprints posteriores.</w:t>
      </w:r>
    </w:p>
    <w:p>
      <w:pPr>
        <w:spacing w:after="80" w:before="80"/>
        <w:jc w:val="both"/>
      </w:pPr>
      <w:r>
        <w:rPr>
          <w:rFonts w:ascii="Arial" w:cs="Arial" w:eastAsia="Arial" w:hAnsi="Arial"/>
          <w:sz w:val="24"/>
          <w:szCs w:val="24"/>
        </w:rPr>
        <w:t xml:space="preserve">Los cuatro sprints implementaron de forma progresiva los 22 módulos del sistema: el Sprint 1 construyó el núcleo de autenticación y gestión de productos; el Sprint 2 incorporó ventas, compras e inventario con control transaccional; el Sprint 3 integró el módulo de Machine Learning con Facebook Prophet para predicción de demanda; y el Sprint 4 completó los módulos de caja, reportes, facturación y la aplicación móvil. Cada sprint incluyó pruebas de caja blanca y negra, Daily Scrum, Sprint Review y Sprint Retrospective.</w:t>
      </w:r>
    </w:p>
    <w:p>
      <w:pPr>
        <w:spacing w:after="80" w:before="80"/>
        <w:jc w:val="both"/>
      </w:pPr>
      <w:r>
        <w:rPr>
          <w:rFonts w:ascii="Arial" w:cs="Arial" w:eastAsia="Arial" w:hAnsi="Arial"/>
          <w:sz w:val="24"/>
          <w:szCs w:val="24"/>
        </w:rPr>
        <w:t xml:space="preserve">La evolución del modelo de datos a través de los cuatro sprints resultó en una base de datos PostgreSQL con 18 tablas interrelacionadas que cubre integralmente la operación de la farmacia. En conclusión, la aplicación rigurosa de SCRUM permitió al equipo responder ágilmente a los cambios de requisitos, mantener la calidad del código en cada iteración y entregar un sistema funcional, probado y alineado con las necesidades reales de FARMA CENTER al finalizar el cuarto sprint.</w:t>
      </w:r>
    </w:p>
    <w:p/>
    <w:p>
      <w:pPr>
        <w:pStyle w:val="Heading2"/>
      </w:pPr>
      <w:r>
        <w:rPr>
          <w:b/>
          <w:bCs/>
        </w:rPr>
        <w:t xml:space="preserve">CONCLUSIÓN CAPÍTULO IV — HERRAMIENTAS CASE</w:t>
      </w:r>
    </w:p>
    <w:p>
      <w:pPr>
        <w:spacing w:after="80" w:before="80"/>
        <w:jc w:val="both"/>
      </w:pPr>
      <w:r>
        <w:rPr>
          <w:rFonts w:ascii="Arial" w:cs="Arial" w:eastAsia="Arial" w:hAnsi="Arial"/>
          <w:sz w:val="24"/>
          <w:szCs w:val="24"/>
        </w:rPr>
        <w:t xml:space="preserve">El Capítulo IV documentó las herramientas CASE (Computer-Aided Software Engineering) empleadas a lo largo del ciclo de vida de desarrollo de FARMA CENTER, abarcando desde la generación asistida de código hasta el modelado de la arquitectura, el diseño de la base de datos y la gestión del control de versiones. El uso estratégico de estas herramientas representó un factor de productividad significativo para un equipo de desarrollo de dos personas.</w:t>
      </w:r>
    </w:p>
    <w:p>
      <w:pPr>
        <w:spacing w:after="80" w:before="80"/>
        <w:jc w:val="both"/>
      </w:pPr>
      <w:r>
        <w:rPr>
          <w:rFonts w:ascii="Arial" w:cs="Arial" w:eastAsia="Arial" w:hAnsi="Arial"/>
          <w:sz w:val="24"/>
          <w:szCs w:val="24"/>
        </w:rPr>
        <w:t xml:space="preserve">La incorporación de herramientas de inteligencia artificial conversacional (ChatGPT, Claude, Copilot) como asistentes de generación de código aceleró la implementación de componentes estándar del sistema, incluyendo modelos Django, serializers DRF, componentes React y el pipeline de Machine Learning con Prophet. Esta asistencia se utilizó de forma supervisada: el equipo revisó, adaptó e integró cada fragmento generado, manteniendo la responsabilidad técnica sobre el código final.</w:t>
      </w:r>
    </w:p>
    <w:p>
      <w:pPr>
        <w:spacing w:after="80" w:before="80"/>
        <w:jc w:val="both"/>
      </w:pPr>
      <w:r>
        <w:rPr>
          <w:rFonts w:ascii="Arial" w:cs="Arial" w:eastAsia="Arial" w:hAnsi="Arial"/>
          <w:sz w:val="24"/>
          <w:szCs w:val="24"/>
        </w:rPr>
        <w:t xml:space="preserve">Las herramientas de modelado UML (Lucidchart, draw.io) permitieron documentar la evolución de la arquitectura del sistema en cada sprint mediante diagramas de despliegue, paquetes y clases, garantizando la trazabilidad entre los requisitos del Product Backlog y la implementación técnica. La gestión de versiones con Git y GitHub, complementada con una estrategia de ramas basada en Gitflow, aseguró la integridad del código base a lo largo del proyecto.</w:t>
      </w:r>
    </w:p>
    <w:p>
      <w:pPr>
        <w:spacing w:after="80" w:before="80"/>
        <w:jc w:val="both"/>
      </w:pPr>
      <w:r>
        <w:rPr>
          <w:rFonts w:ascii="Arial" w:cs="Arial" w:eastAsia="Arial" w:hAnsi="Arial"/>
          <w:sz w:val="24"/>
          <w:szCs w:val="24"/>
        </w:rPr>
        <w:t xml:space="preserve">En conclusión, la selección adecuada de herramientas CASE potenció la capacidad del equipo de desarrollo, permitiendo construir un sistema ERP complejo con 22 módulos funcionales en un plazo de cuatro sprints. Las herramientas no reemplazaron el criterio técnico del equipo, sino que lo amplificaron, reduciendo el tiempo dedicado a tareas mecánicas y liberando capacidad cognitiva para la resolución de problemas de arquitectura y lógica de negocio.</w:t>
      </w:r>
    </w:p>
    <w:p/>
    <w:p>
      <w:pPr>
        <w:pStyle w:val="Heading2"/>
      </w:pPr>
      <w:r>
        <w:rPr>
          <w:b/>
          <w:bCs/>
        </w:rPr>
        <w:t xml:space="preserve">CONCLUSIÓN CAPÍTULO V — ASPECTOS LEGALES</w:t>
      </w:r>
    </w:p>
    <w:p>
      <w:pPr>
        <w:spacing w:after="80" w:before="80"/>
        <w:jc w:val="both"/>
      </w:pPr>
      <w:r>
        <w:rPr>
          <w:rFonts w:ascii="Arial" w:cs="Arial" w:eastAsia="Arial" w:hAnsi="Arial"/>
          <w:sz w:val="24"/>
          <w:szCs w:val="24"/>
        </w:rPr>
        <w:t xml:space="preserve">El Capítulo V analizó el marco legal aplicable al desarrollo, comercialización y operación del sistema FARMA CENTER en Bolivia, abordando tres dimensiones fundamentales: el marco legal para la constitución de una empresa de software, la protección de la propiedad intelectual del sistema desarrollado y el cumplimiento de las normativas sectoriales del ámbito farmacéutico boliviano.</w:t>
      </w:r>
    </w:p>
    <w:p>
      <w:pPr>
        <w:spacing w:after="80" w:before="80"/>
        <w:jc w:val="both"/>
      </w:pPr>
      <w:r>
        <w:rPr>
          <w:rFonts w:ascii="Arial" w:cs="Arial" w:eastAsia="Arial" w:hAnsi="Arial"/>
          <w:sz w:val="24"/>
          <w:szCs w:val="24"/>
        </w:rPr>
        <w:t xml:space="preserve">El análisis de las licencias de software reveló que la arquitectura tecnológica de FARMA CENTER, basada íntegramente en software de código abierto (Django bajo licencia BSD, React bajo licencia MIT, PostgreSQL bajo licencia PostgreSQL, React Native bajo licencia MIT), garantiza la ausencia de costos de licenciamiento de terceros y la libertad legal para comercializar el sistema como producto SaaS sin restricciones contractuales con proveedores externos.</w:t>
      </w:r>
    </w:p>
    <w:p>
      <w:pPr>
        <w:spacing w:after="80" w:before="80"/>
        <w:jc w:val="both"/>
      </w:pPr>
      <w:r>
        <w:rPr>
          <w:rFonts w:ascii="Arial" w:cs="Arial" w:eastAsia="Arial" w:hAnsi="Arial"/>
          <w:sz w:val="24"/>
          <w:szCs w:val="24"/>
        </w:rPr>
        <w:t xml:space="preserve">El cumplimiento del Reglamento de Farmacias y Droguerías de AGEMED Bolivia y la Ley N° 164 de Telecomunicaciones y Tecnologías de Información establece el marco normativo dentro del cual opera FARMA CENTER como sistema de gestión para establecimientos farmacéuticos. La protección del sistema mediante registro ante el SENAPI y la definición de contratos de licencia de uso con cláusulas de confidencialidad y protección de datos protegen tanto al desarrollador como a los clientes suscritos.</w:t>
      </w:r>
    </w:p>
    <w:p>
      <w:pPr>
        <w:spacing w:after="80" w:before="80"/>
        <w:jc w:val="both"/>
      </w:pPr>
      <w:r>
        <w:rPr>
          <w:rFonts w:ascii="Arial" w:cs="Arial" w:eastAsia="Arial" w:hAnsi="Arial"/>
          <w:sz w:val="24"/>
          <w:szCs w:val="24"/>
        </w:rPr>
        <w:t xml:space="preserve">En conclusión, el análisis legal del Capítulo V confirma que FARMA CENTER puede desarrollarse, comercializarse y operarse dentro del marco normativo boliviano vigente sin conflictos legales. La claridad jurídica en torno a la propiedad intelectual, las licencias de uso y el cumplimiento regulatorio del sector farmacéutico es un requisito indispensable para la sostenibilidad del modelo de negocio SaaS y la confianza de los clientes en el producto.</w:t>
      </w:r>
    </w:p>
    <w:p/>
    <w:p>
      <w:pPr>
        <w:pStyle w:val="Heading2"/>
      </w:pPr>
      <w:r>
        <w:rPr>
          <w:b/>
          <w:bCs/>
        </w:rPr>
        <w:t xml:space="preserve">CONCLUSIÓN CAPÍTULO VI — INFRAESTRUCTURA PARA LA PRODUCCIÓN DE SOFTWARE</w:t>
      </w:r>
    </w:p>
    <w:p>
      <w:pPr>
        <w:spacing w:after="80" w:before="80"/>
        <w:jc w:val="both"/>
      </w:pPr>
      <w:r>
        <w:rPr>
          <w:rFonts w:ascii="Arial" w:cs="Arial" w:eastAsia="Arial" w:hAnsi="Arial"/>
          <w:sz w:val="24"/>
          <w:szCs w:val="24"/>
        </w:rPr>
        <w:t xml:space="preserve">El Capítulo VI definió la infraestructura de producción de software sobre la que se desarrolló el sistema FARMA CENTER, articulando tres componentes esenciales: la Gestión de la Configuración del Software (GCS), el sistema de control de versiones basado en Git y las herramientas de gestión de proyectos y documentación empleadas durante el desarrollo.</w:t>
      </w:r>
    </w:p>
    <w:p>
      <w:pPr>
        <w:spacing w:after="80" w:before="80"/>
        <w:jc w:val="both"/>
      </w:pPr>
      <w:r>
        <w:rPr>
          <w:rFonts w:ascii="Arial" w:cs="Arial" w:eastAsia="Arial" w:hAnsi="Arial"/>
          <w:sz w:val="24"/>
          <w:szCs w:val="24"/>
        </w:rPr>
        <w:t xml:space="preserve">La implementación de Git con la estrategia de ramas Gitflow proporcionó al equipo un control preciso sobre la evolución del código fuente, permitiendo el desarrollo paralelo de funcionalidades en ramas de feature, la preparación de versiones en ramas de release y la corrección urgente de errores mediante hotfix branches. Esta disciplina de versionado fue determinante para mantener la estabilidad de la rama principal durante los cuatro sprints de desarrollo.</w:t>
      </w:r>
    </w:p>
    <w:p>
      <w:pPr>
        <w:spacing w:after="80" w:before="80"/>
        <w:jc w:val="both"/>
      </w:pPr>
      <w:r>
        <w:rPr>
          <w:rFonts w:ascii="Arial" w:cs="Arial" w:eastAsia="Arial" w:hAnsi="Arial"/>
          <w:sz w:val="24"/>
          <w:szCs w:val="24"/>
        </w:rPr>
        <w:t xml:space="preserve">El uso de Trello como herramienta de gestión de tareas y seguimiento del Sprint Backlog, combinado con Microsoft Word para la documentación técnica del proyecto, proporcionó la visibilidad operativa necesaria para que el equipo de dos personas coordinara su trabajo de forma eficiente. La integración de estas herramientas con la infraestructura tecnológica del sistema (Django, React, PostgreSQL) completó el ecosistema de producción de software del proyecto.</w:t>
      </w:r>
    </w:p>
    <w:p>
      <w:pPr>
        <w:spacing w:after="80" w:before="80"/>
        <w:jc w:val="both"/>
      </w:pPr>
      <w:r>
        <w:rPr>
          <w:rFonts w:ascii="Arial" w:cs="Arial" w:eastAsia="Arial" w:hAnsi="Arial"/>
          <w:sz w:val="24"/>
          <w:szCs w:val="24"/>
        </w:rPr>
        <w:t xml:space="preserve">En conclusión, la infraestructura de producción establecida en el Capítulo VI fue el soporte operativo que permitió al equipo trabajar de forma ordenada, colaborativa y trazable. La combinación de una gestión de versiones rigurosa con Git, una gestión de proyectos ágil con Trello y una documentación estructurada garantizó que el proceso de desarrollo fuera reproducible, auditable y alineado con las mejores prácticas de la ingeniería del software moderna.</w:t>
      </w:r>
    </w:p>
    <w:p/>
    <w:p>
      <w:pPr>
        <w:pStyle w:val="Heading2"/>
      </w:pPr>
      <w:r>
        <w:rPr>
          <w:b/>
          <w:bCs/>
        </w:rPr>
        <w:t xml:space="preserve">CONCLUSIÓN CAPÍTULO VII — SITIO WEB</w:t>
      </w:r>
    </w:p>
    <w:p>
      <w:pPr>
        <w:spacing w:after="80" w:before="80"/>
        <w:jc w:val="both"/>
      </w:pPr>
      <w:r>
        <w:rPr>
          <w:rFonts w:ascii="Arial" w:cs="Arial" w:eastAsia="Arial" w:hAnsi="Arial"/>
          <w:sz w:val="24"/>
          <w:szCs w:val="24"/>
        </w:rPr>
        <w:t xml:space="preserve">El Capítulo VII presentó el sistema FARMA CENTER como un producto web de doble frente: un panel de gestión interno desarrollado en React 18 + Vite, orientado a administradores y empleados de la farmacia, y una tienda en línea pública para los clientes finales. Esta arquitectura frontend separada permite optimizar la experiencia de usuario de cada perfil sin comprometer la coherencia visual ni la seguridad del sistema.</w:t>
      </w:r>
    </w:p>
    <w:p>
      <w:pPr>
        <w:spacing w:after="80" w:before="80"/>
        <w:jc w:val="both"/>
      </w:pPr>
      <w:r>
        <w:rPr>
          <w:rFonts w:ascii="Arial" w:cs="Arial" w:eastAsia="Arial" w:hAnsi="Arial"/>
          <w:sz w:val="24"/>
          <w:szCs w:val="24"/>
        </w:rPr>
        <w:t xml:space="preserve">La identidad visual del sistema, materializada en el logotipo de FARMA CENTER, fue integrada de forma consistente en el panel web, la tienda en línea, la aplicación móvil y el favicon del navegador. Esta coherencia de marca refuerza la percepción de FARMA CENTER como un producto profesional y confiable, un atributo crítico para la adopción por parte de farmacias que gestionan datos sensibles de salud y operaciones financieras.</w:t>
      </w:r>
    </w:p>
    <w:p>
      <w:pPr>
        <w:spacing w:after="80" w:before="80"/>
        <w:jc w:val="both"/>
      </w:pPr>
      <w:r>
        <w:rPr>
          <w:rFonts w:ascii="Arial" w:cs="Arial" w:eastAsia="Arial" w:hAnsi="Arial"/>
          <w:sz w:val="24"/>
          <w:szCs w:val="24"/>
        </w:rPr>
        <w:t xml:space="preserve">El uso de React 18 con hooks modernos (useState, useEffect, useContext), React Router v6 para la navegación declarativa y un sistema de diseño CSS personalizado con variables de tema garantiza que el panel web sea responsive, accesible y mantenible. La separación de responsabilidades entre componentes de presentación y lógica de negocio facilita el mantenimiento evolutivo del sistema y la incorporación de nuevas funcionalidades en versiones futuras.</w:t>
      </w:r>
    </w:p>
    <w:p>
      <w:pPr>
        <w:spacing w:after="80" w:before="80"/>
        <w:jc w:val="both"/>
      </w:pPr>
      <w:r>
        <w:rPr>
          <w:rFonts w:ascii="Arial" w:cs="Arial" w:eastAsia="Arial" w:hAnsi="Arial"/>
          <w:sz w:val="24"/>
          <w:szCs w:val="24"/>
        </w:rPr>
        <w:t xml:space="preserve">En conclusión, el sitio web de FARMA CENTER cumple con los estándares modernos de desarrollo frontend, ofrece una experiencia de usuario intuitiva tanto para el personal de la farmacia como para sus clientes, y sienta las bases para la evolución hacia un producto SaaS comercializable. La inversión en calidad de interfaz es un diferenciador competitivo real en el mercado farmacéutico boliviano, donde las soluciones disponibles presentan interfaces desactualizadas y difíciles de usar.</w:t>
      </w:r>
    </w:p>
    <w:p/>
    <w:p>
      <w:pPr>
        <w:pStyle w:val="Heading2"/>
      </w:pPr>
      <w:r>
        <w:rPr>
          <w:b/>
          <w:bCs/>
        </w:rPr>
        <w:t xml:space="preserve">CONCLUSIÓN CAPÍTULO VIII — ESTUDIO DE MERCADO</w:t>
      </w:r>
    </w:p>
    <w:p>
      <w:pPr>
        <w:spacing w:after="80" w:before="80"/>
        <w:jc w:val="both"/>
      </w:pPr>
      <w:r>
        <w:rPr>
          <w:rFonts w:ascii="Arial" w:cs="Arial" w:eastAsia="Arial" w:hAnsi="Arial"/>
          <w:sz w:val="24"/>
          <w:szCs w:val="24"/>
        </w:rPr>
        <w:t xml:space="preserve">El Capítulo VIII demostró que el sistema FARMA CENTER nace en un contexto de mercado altamente favorable para su adopción y comercialización. El mercado farmacéutico boliviano, valorado en más de 500 millones de dólares y con un crecimiento anual del 15%, opera con una paradoja estructural: el 84% de los establecimientos farmacéuticos son farmacias independientes que aún gestionan sus operaciones de forma manual o con herramientas tecnológicas obsoletas. Esta brecha de digitalización representa la oportunidad de mercado central de FARMA CENTER.</w:t>
      </w:r>
    </w:p>
    <w:p>
      <w:pPr>
        <w:spacing w:after="80" w:before="80"/>
        <w:jc w:val="both"/>
      </w:pPr>
      <w:r>
        <w:rPr>
          <w:rFonts w:ascii="Arial" w:cs="Arial" w:eastAsia="Arial" w:hAnsi="Arial"/>
          <w:sz w:val="24"/>
          <w:szCs w:val="24"/>
        </w:rPr>
        <w:t xml:space="preserve">El análisis del mercado global de software farmacéutico (valorado en 2,500 millones de dólares en 2023 y proyectado en 7,800 millones para 2032 con un CAGR del 9.8%) confirma que la tendencia de digitalización del sector salud es global, sostenida y acelerada. Bolivia, aunque en una etapa más temprana de este proceso, sigue la misma trayectoria, impulsada por la mayor exigencia regulatoria de AGEMED y la creciente presión competitiva entre farmacias por eficiencia operativa.</w:t>
      </w:r>
    </w:p>
    <w:p>
      <w:pPr>
        <w:spacing w:after="80" w:before="80"/>
        <w:jc w:val="both"/>
      </w:pPr>
      <w:r>
        <w:rPr>
          <w:rFonts w:ascii="Arial" w:cs="Arial" w:eastAsia="Arial" w:hAnsi="Arial"/>
          <w:sz w:val="24"/>
          <w:szCs w:val="24"/>
        </w:rPr>
        <w:t xml:space="preserve">El análisis de la competencia directa reveló que las soluciones disponibles en Bolivia son genéricas, costosas para el segmento de farmacias independientes o tecnológicamente desactualizadas. FARMA CENTER se diferencia por ser la única solución diseñada específicamente para el mercado farmacéutico boliviano, con módulos de predicción de demanda con IA, aplicación móvil nativa y un modelo de precios SaaS accesible ($50/$120/$250 USD/mes) adaptado a la capacidad económica del segmento objetivo.</w:t>
      </w:r>
    </w:p>
    <w:p>
      <w:pPr>
        <w:spacing w:after="80" w:before="80"/>
        <w:jc w:val="both"/>
      </w:pPr>
      <w:r>
        <w:rPr>
          <w:rFonts w:ascii="Arial" w:cs="Arial" w:eastAsia="Arial" w:hAnsi="Arial"/>
          <w:sz w:val="24"/>
          <w:szCs w:val="24"/>
        </w:rPr>
        <w:t xml:space="preserve">En conclusión, el estudio de mercado valida que FARMA CENTER tiene una propuesta de valor diferenciada, un mercado objetivo cuantificable y un modelo de monetización viable. La combinación de un mercado local subatendido, una tendencia global de digitalización del sector salud y una solución técnicamente superior a las alternativas disponibles posiciona a FARMA CENTER para capturar una cuota de mercado relevante en el segmento de farmacias independientes y cadenas medianas de Bolivia.</w:t>
      </w:r>
    </w:p>
    <w:p/>
    <w:p>
      <w:pPr>
        <w:pStyle w:val="Heading2"/>
      </w:pPr>
      <w:r>
        <w:rPr>
          <w:b/>
          <w:bCs/>
        </w:rPr>
        <w:t xml:space="preserve">CONCLUSIÓN CAPÍTULO IX — PRUEBAS EN EL SOFTWARE</w:t>
      </w:r>
    </w:p>
    <w:p>
      <w:pPr>
        <w:spacing w:after="80" w:before="80"/>
        <w:jc w:val="both"/>
      </w:pPr>
      <w:r>
        <w:rPr>
          <w:rFonts w:ascii="Arial" w:cs="Arial" w:eastAsia="Arial" w:hAnsi="Arial"/>
          <w:sz w:val="24"/>
          <w:szCs w:val="24"/>
        </w:rPr>
        <w:t xml:space="preserve">El Capítulo IX ejecutó un plan de pruebas exhaustivo sobre los tres casos de uso más críticos y representativos del sistema FARMA CENTER: CU01 (Autenticación JWT), CU02 (Registrar Venta) y CU19 (Predicción de Demanda ML). La combinación de pruebas de caja blanca —para verificar la corrección lógica interna del código— y pruebas de caja negra —para validar el comportamiento del sistema desde la perspectiva del usuario— proporcionó una cobertura de pruebas completa y complementaria.</w:t>
      </w:r>
    </w:p>
    <w:p>
      <w:pPr>
        <w:spacing w:after="80" w:before="80"/>
        <w:jc w:val="both"/>
      </w:pPr>
      <w:r>
        <w:rPr>
          <w:rFonts w:ascii="Arial" w:cs="Arial" w:eastAsia="Arial" w:hAnsi="Arial"/>
          <w:sz w:val="24"/>
          <w:szCs w:val="24"/>
        </w:rPr>
        <w:t xml:space="preserve">Las pruebas de caja blanca mediante grafos de flujo y matrices de conexión evidenciaron que los tres casos de uso analizados tienen una complejidad ciclomática controlada (M=4 para CU01 y M=3 para CU02 y CU19), lo que indica código con un número manejable de caminos independientes y bajo riesgo de errores ocultos. Este resultado confirma que las decisiones de diseño modular y la separación de responsabilidades adoptadas desde el Sprint 0 produjeron código estructuralmente limpio y testeable.</w:t>
      </w:r>
    </w:p>
    <w:p>
      <w:pPr>
        <w:spacing w:after="80" w:before="80"/>
        <w:jc w:val="both"/>
      </w:pPr>
      <w:r>
        <w:rPr>
          <w:rFonts w:ascii="Arial" w:cs="Arial" w:eastAsia="Arial" w:hAnsi="Arial"/>
          <w:sz w:val="24"/>
          <w:szCs w:val="24"/>
        </w:rPr>
        <w:t xml:space="preserve">Un hallazgo relevante de las pruebas de CU02 fue la validación de la integridad transaccional: el mecanismo @transaction.atomic de Django garantiza que en ningún escenario de falla parcial queden datos inconsistentes en la base de datos. El análisis OWASP ZAP detectó únicamente alertas de riesgo bajo y medio relacionadas con cabeceras HTTP de seguridad, sin vulnerabilidades críticas de inyección SQL, XSS o autenticación rota.</w:t>
      </w:r>
    </w:p>
    <w:p>
      <w:pPr>
        <w:spacing w:after="80" w:before="80"/>
        <w:jc w:val="both"/>
      </w:pPr>
      <w:r>
        <w:rPr>
          <w:rFonts w:ascii="Arial" w:cs="Arial" w:eastAsia="Arial" w:hAnsi="Arial"/>
          <w:sz w:val="24"/>
          <w:szCs w:val="24"/>
        </w:rPr>
        <w:t xml:space="preserve">En conclusión, el plan de pruebas del Capítulo IX confirma que el sistema FARMA CENTER es funcionalmente correcto, seguro ante los vectores de ataque más comunes y capaz de mantener la integridad de los datos bajo condiciones de error. Los resultados de las pruebas otorgan al equipo y a los clientes la confianza necesaria para desplegar el sistema en entornos de producción reales con la farmacia FARMA CENTER como cliente piloto.</w:t>
      </w:r>
    </w:p>
    <w:p/>
    <w:p>
      <w:pPr>
        <w:pStyle w:val="Heading2"/>
      </w:pPr>
      <w:r>
        <w:rPr>
          <w:b/>
          <w:bCs/>
        </w:rPr>
        <w:t xml:space="preserve">CONCLUSIÓN CAPÍTULO X — MARKETING</w:t>
      </w:r>
    </w:p>
    <w:p>
      <w:pPr>
        <w:spacing w:after="80" w:before="80"/>
        <w:jc w:val="both"/>
      </w:pPr>
      <w:r>
        <w:rPr>
          <w:rFonts w:ascii="Arial" w:cs="Arial" w:eastAsia="Arial" w:hAnsi="Arial"/>
          <w:sz w:val="24"/>
          <w:szCs w:val="24"/>
        </w:rPr>
        <w:t xml:space="preserve">El Capítulo X definió la estrategia de marketing integral de FARMA CENTER como producto SaaS, estableciendo los canales de adquisición, los mensajes de posicionamiento y los mecanismos de medición necesarios para llevar el sistema al mercado farmacéutico boliviano de manera efectiva. La estrategia reconoce que un producto técnicamente superior solo tiene impacto comercial si llega de forma eficiente a los tomadores de decisión del segmento objetivo.</w:t>
      </w:r>
    </w:p>
    <w:p>
      <w:pPr>
        <w:spacing w:after="80" w:before="80"/>
        <w:jc w:val="both"/>
      </w:pPr>
      <w:r>
        <w:rPr>
          <w:rFonts w:ascii="Arial" w:cs="Arial" w:eastAsia="Arial" w:hAnsi="Arial"/>
          <w:sz w:val="24"/>
          <w:szCs w:val="24"/>
        </w:rPr>
        <w:t xml:space="preserve">El plan de marketing digital —con presupuesto inicial de $1,000 USD/mes distribuido entre Google Ads, Facebook/Instagram Ads, LinkedIn Ads y producción de contenido— está diseñado para generar un mínimo de 80 leads calificados por mes a partir del tercer mes de operación, con una tasa de conversión objetivo del 5%, equivalente a 4 nuevas farmacias suscritas por mes. Estas proyecciones están sustentadas en benchmarks del sector SaaS B2B latinoamericano.</w:t>
      </w:r>
    </w:p>
    <w:p>
      <w:pPr>
        <w:spacing w:after="80" w:before="80"/>
        <w:jc w:val="both"/>
      </w:pPr>
      <w:r>
        <w:rPr>
          <w:rFonts w:ascii="Arial" w:cs="Arial" w:eastAsia="Arial" w:hAnsi="Arial"/>
          <w:sz w:val="24"/>
          <w:szCs w:val="24"/>
        </w:rPr>
        <w:t xml:space="preserve">La definición de tres buyer personas diferenciadas (propietario de farmacia independiente, administradora de cadena regional y distribuidor farmacéutico) permitió diseñar mensajes de marketing específicos para cada segmento, maximizando la relevancia y la tasa de conversión de las campañas. Las alianzas estratégicas con colegios de bioquímica-farmacia, cámaras de comercio y distribuidoras farmacéuticas bolivianas potencian el alcance del producto más allá de los canales digitales.</w:t>
      </w:r>
    </w:p>
    <w:p>
      <w:pPr>
        <w:spacing w:after="80" w:before="80"/>
        <w:jc w:val="both"/>
      </w:pPr>
      <w:r>
        <w:rPr>
          <w:rFonts w:ascii="Arial" w:cs="Arial" w:eastAsia="Arial" w:hAnsi="Arial"/>
          <w:sz w:val="24"/>
          <w:szCs w:val="24"/>
        </w:rPr>
        <w:t xml:space="preserve">En conclusión, el plan de marketing de FARMA CENTER es realista, medible y escalable. Su enfoque en objetivos SMART con KPIs monitoreados mensualmente (CAC, LTV, MRR, churn rate, NPS) garantiza que el equipo pueda tomar decisiones basadas en datos y ajustar la estrategia continuamente para maximizar el retorno sobre la inversión en adquisición de clientes y acelerar el crecimiento del MRR.</w:t>
      </w:r>
    </w:p>
    <w:p/>
    <w:p>
      <w:pPr>
        <w:pStyle w:val="Heading2"/>
      </w:pPr>
      <w:r>
        <w:rPr>
          <w:b/>
          <w:bCs/>
        </w:rPr>
        <w:t xml:space="preserve">CONCLUSIÓN CAPÍTULO XI — PUESTA EN MARCHA O DESPLIEGUE</w:t>
      </w:r>
    </w:p>
    <w:p>
      <w:pPr>
        <w:spacing w:after="80" w:before="80"/>
        <w:jc w:val="both"/>
      </w:pPr>
      <w:r>
        <w:rPr>
          <w:rFonts w:ascii="Arial" w:cs="Arial" w:eastAsia="Arial" w:hAnsi="Arial"/>
          <w:sz w:val="24"/>
          <w:szCs w:val="24"/>
        </w:rPr>
        <w:t xml:space="preserve">El Capítulo XI definió la estrategia de despliegue del sistema FARMA CENTER en la nube, eligiendo a Render como plataforma principal para la fase piloto y a Amazon Web Services (AWS) como plataforma de destino para la fase de escala. Esta decisión responde a un principio fundamental de gestión de startups tecnológicas: minimizar los costos operativos fijos en las fases tempranas para maximizar la inversión en desarrollo del producto y adquisición de clientes.</w:t>
      </w:r>
    </w:p>
    <w:p>
      <w:pPr>
        <w:spacing w:after="80" w:before="80"/>
        <w:jc w:val="both"/>
      </w:pPr>
      <w:r>
        <w:rPr>
          <w:rFonts w:ascii="Arial" w:cs="Arial" w:eastAsia="Arial" w:hAnsi="Arial"/>
          <w:sz w:val="24"/>
          <w:szCs w:val="24"/>
        </w:rPr>
        <w:t xml:space="preserve">La elección de Render para la fase inicial es estratégicamente acertada: permite desplegar el stack completo de FARMA CENTER (backend Django, frontend React, PostgreSQL, Redis y workers Celery) sin costo en la fase piloto, con despliegue continuo desde GitHub y sin necesidad de personal DevOps dedicado. Esta configuración reduce el tiempo de puesta en producción y permite al equipo concentrarse en el desarrollo de nuevas funcionalidades.</w:t>
      </w:r>
    </w:p>
    <w:p>
      <w:pPr>
        <w:spacing w:after="80" w:before="80"/>
        <w:jc w:val="both"/>
      </w:pPr>
      <w:r>
        <w:rPr>
          <w:rFonts w:ascii="Arial" w:cs="Arial" w:eastAsia="Arial" w:hAnsi="Arial"/>
          <w:sz w:val="24"/>
          <w:szCs w:val="24"/>
        </w:rPr>
        <w:t xml:space="preserve">La adopción del modelo PaaS (Platform as a Service) es coherente con las características del sistema: FARMA CENTER no requiere control sobre el sistema operativo ni sobre la infraestructura de red, sino únicamente sobre el código de la aplicación y los datos de sus clientes. La estrategia de migración progresiva Render → AWS, activada cuando el número de farmacias activas supere las 50 cuentas o cuando un cliente enterprise exija SLA Multi-AZ, garantiza que FARMA CENTER nunca estará sobre-dimensionado ni sub-dimensionado.</w:t>
      </w:r>
    </w:p>
    <w:p>
      <w:pPr>
        <w:spacing w:after="80" w:before="80"/>
        <w:jc w:val="both"/>
      </w:pPr>
      <w:r>
        <w:rPr>
          <w:rFonts w:ascii="Arial" w:cs="Arial" w:eastAsia="Arial" w:hAnsi="Arial"/>
          <w:sz w:val="24"/>
          <w:szCs w:val="24"/>
        </w:rPr>
        <w:t xml:space="preserve">En conclusión, el plan de despliegue de FARMA CENTER es técnicamente sólido, económicamente eficiente y escalable. La arquitectura cloud-native del sistema, combinada con la estrategia de migración progresiva, garantiza que FARMA CENTER pueda crecer desde una farmacia piloto hasta cientos de clientes concurrentes sin rediseñar la infraestructura, simplemente escalando los recursos disponibles en la plataforma cloud seleccionada.</w:t>
      </w:r>
    </w:p>
    <w:p/>
    <w:p>
      <w:pPr>
        <w:pStyle w:val="Heading2"/>
      </w:pPr>
      <w:r>
        <w:rPr>
          <w:b/>
          <w:bCs/>
        </w:rPr>
        <w:t xml:space="preserve">CONCLUSIÓN CAPÍTULO XII — SOFTWARE COMO PRODUCTO</w:t>
      </w:r>
    </w:p>
    <w:p>
      <w:pPr>
        <w:spacing w:after="80" w:before="80"/>
        <w:jc w:val="both"/>
      </w:pPr>
      <w:r>
        <w:rPr>
          <w:rFonts w:ascii="Arial" w:cs="Arial" w:eastAsia="Arial" w:hAnsi="Arial"/>
          <w:sz w:val="24"/>
          <w:szCs w:val="24"/>
        </w:rPr>
        <w:t xml:space="preserve">El Capítulo XII presentó FARMA CENTER como un producto de software terminado y funcional, describiendo en detalle cada uno de sus 22 módulos distribuidos en tres plataformas: el panel web de gestión (14 módulos), la tienda en línea para clientes (3 módulos) y la aplicación móvil nativa (5 módulos). Esta cobertura multiplataforma convierte a FARMA CENTER en la solución más completa disponible en el mercado farmacéutico boliviano.</w:t>
      </w:r>
    </w:p>
    <w:p>
      <w:pPr>
        <w:spacing w:after="80" w:before="80"/>
        <w:jc w:val="both"/>
      </w:pPr>
      <w:r>
        <w:rPr>
          <w:rFonts w:ascii="Arial" w:cs="Arial" w:eastAsia="Arial" w:hAnsi="Arial"/>
          <w:sz w:val="24"/>
          <w:szCs w:val="24"/>
        </w:rPr>
        <w:t xml:space="preserve">La cobertura funcional del sistema es amplia y coherente con las necesidades reales de una farmacia en operación: desde el control de acceso por roles hasta la predicción de demanda con IA, pasando por la gestión de inventario con alertas automáticas, el registro de ventas en mostrador con transacciones atómicas, la gestión de compras a proveedores, la facturación electrónica y los reportes ejecutivos en tiempo real. Cada módulo fue diseñado con criterios de usabilidad (Nielsen, 1994) y accesibilidad.</w:t>
      </w:r>
    </w:p>
    <w:p>
      <w:pPr>
        <w:spacing w:after="80" w:before="80"/>
        <w:jc w:val="both"/>
      </w:pPr>
      <w:r>
        <w:rPr>
          <w:rFonts w:ascii="Arial" w:cs="Arial" w:eastAsia="Arial" w:hAnsi="Arial"/>
          <w:sz w:val="24"/>
          <w:szCs w:val="24"/>
        </w:rPr>
        <w:t xml:space="preserve">La aplicación móvil de FARMA CENTER, desarrollada con React Native y Expo SDK 52, representa un diferenciador competitivo significativo en el mercado boliviano, donde ningún sistema farmacéutico local ofrece una app nativa multiplataforma (Android e iOS) como parte integral del producto. Esta funcionalidad permite al propietario de la farmacia monitorear el estado del negocio en tiempo real desde cualquier lugar, democratizando el acceso a la inteligencia de negocios para farmacias de cualquier tamaño.</w:t>
      </w:r>
    </w:p>
    <w:p>
      <w:pPr>
        <w:spacing w:after="80" w:before="80"/>
        <w:jc w:val="both"/>
      </w:pPr>
      <w:r>
        <w:rPr>
          <w:rFonts w:ascii="Arial" w:cs="Arial" w:eastAsia="Arial" w:hAnsi="Arial"/>
          <w:sz w:val="24"/>
          <w:szCs w:val="24"/>
        </w:rPr>
        <w:t xml:space="preserve">En conclusión, FARMA CENTER como producto de software cumple con todos los objetivos específicos planteados en el Capítulo I: gestión integral de la operación farmacéutica, predicción de demanda con Machine Learning, aplicación móvil nativa, interfaz web moderna y responsive, y arquitectura segura y escalable. El sistema está listo para su comercialización como producto SaaS en el mercado farmacéutico boliviano y posee las características técnicas y funcionales para competir en mercados regionales.</w:t>
      </w:r>
    </w:p>
    <w:p/>
    <w:p>
      <w:r>
        <w:br w:type="page"/>
      </w:r>
    </w:p>
    <w:p>
      <w:pPr>
        <w:pStyle w:val="Heading1"/>
      </w:pPr>
      <w:r>
        <w:rPr>
          <w:b/>
          <w:bCs/>
        </w:rPr>
        <w:t xml:space="preserve">BIBLIOGRAFÍA</w:t>
      </w:r>
    </w:p>
    <w:p/>
    <w:p>
      <w:pPr>
        <w:pStyle w:val="Heading2"/>
      </w:pPr>
      <w:r>
        <w:rPr>
          <w:b/>
          <w:bCs/>
        </w:rPr>
        <w:t xml:space="preserve">BIBLIOGRAFÍA CAPÍTULO I — PLAN DE ADMINISTRACIÓN DE PROYECTO DE SOFTWARE (PAPS)</w:t>
      </w:r>
    </w:p>
    <w:p>
      <w:pPr>
        <w:spacing w:after="60" w:before="60"/>
        <w:ind w:left="720" w:hanging="360"/>
        <w:jc w:val="both"/>
      </w:pPr>
      <w:r>
        <w:rPr>
          <w:rFonts w:ascii="Arial" w:cs="Arial" w:eastAsia="Arial" w:hAnsi="Arial"/>
          <w:sz w:val="22"/>
          <w:szCs w:val="22"/>
        </w:rPr>
        <w:t xml:space="preserve">[1] Pressman, R. S. &amp; Maxim, B. R. (2021). Ingeniería del Software: Un Enfoque Práctico (9.ª ed.). McGraw-Hill Education.</w:t>
      </w:r>
    </w:p>
    <w:p>
      <w:pPr>
        <w:spacing w:after="60" w:before="60"/>
        <w:ind w:left="720" w:hanging="360"/>
        <w:jc w:val="both"/>
      </w:pPr>
      <w:r>
        <w:rPr>
          <w:rFonts w:ascii="Arial" w:cs="Arial" w:eastAsia="Arial" w:hAnsi="Arial"/>
          <w:sz w:val="22"/>
          <w:szCs w:val="22"/>
        </w:rPr>
        <w:t xml:space="preserve">[2] Albrecht, A. J. (1979). Measuring Application Development Productivity. Proceedings of the IBM Application Development Joint SHARE/GUIDE Symposium, pp. 83–92. IBM Corporation.</w:t>
      </w:r>
    </w:p>
    <w:p>
      <w:pPr>
        <w:spacing w:after="60" w:before="60"/>
        <w:ind w:left="720" w:hanging="360"/>
        <w:jc w:val="both"/>
      </w:pPr>
      <w:r>
        <w:rPr>
          <w:rFonts w:ascii="Arial" w:cs="Arial" w:eastAsia="Arial" w:hAnsi="Arial"/>
          <w:sz w:val="22"/>
          <w:szCs w:val="22"/>
        </w:rPr>
        <w:t xml:space="preserve">[3] Boehm, B. W., Abts, C., Brown, A. W., Chulani, S., Clark, B. K., Horowitz, E., Madachy, R., Reifer, D. &amp; Steece, B. (2000). Software Cost Estimation with COCOMO II. Prentice Hall PTR.</w:t>
      </w:r>
    </w:p>
    <w:p>
      <w:pPr>
        <w:spacing w:after="60" w:before="60"/>
        <w:ind w:left="720" w:hanging="360"/>
        <w:jc w:val="both"/>
      </w:pPr>
      <w:r>
        <w:rPr>
          <w:rFonts w:ascii="Arial" w:cs="Arial" w:eastAsia="Arial" w:hAnsi="Arial"/>
          <w:sz w:val="22"/>
          <w:szCs w:val="22"/>
        </w:rPr>
        <w:t xml:space="preserve">[4] UniCenta oPOS. (2023). UniCenta Open Source Point of Sale — GitHub Repository. Recuperado de https://github.com/poolborges/unicenta-pos</w:t>
      </w:r>
    </w:p>
    <w:p>
      <w:pPr>
        <w:spacing w:after="60" w:before="60"/>
        <w:ind w:left="720" w:hanging="360"/>
        <w:jc w:val="both"/>
      </w:pPr>
      <w:r>
        <w:rPr>
          <w:rFonts w:ascii="Arial" w:cs="Arial" w:eastAsia="Arial" w:hAnsi="Arial"/>
          <w:sz w:val="22"/>
          <w:szCs w:val="22"/>
        </w:rPr>
        <w:t xml:space="preserve">[5] GNU Health Project. (2024). GNU Health — Hospital and Health Information System. Free Software Foundation. Recuperado de https://www.gnuhealth.org/</w:t>
      </w:r>
    </w:p>
    <w:p>
      <w:pPr>
        <w:spacing w:after="60" w:before="60"/>
        <w:ind w:left="720" w:hanging="360"/>
        <w:jc w:val="both"/>
      </w:pPr>
      <w:r>
        <w:rPr>
          <w:rFonts w:ascii="Arial" w:cs="Arial" w:eastAsia="Arial" w:hAnsi="Arial"/>
          <w:sz w:val="22"/>
          <w:szCs w:val="22"/>
        </w:rPr>
        <w:t xml:space="preserve">[6] Cohn, M. (2005). Agile Estimating and Planning. Prentice Hall PTR.</w:t>
      </w:r>
    </w:p>
    <w:p>
      <w:pPr>
        <w:spacing w:after="60" w:before="60"/>
        <w:ind w:left="720" w:hanging="360"/>
        <w:jc w:val="both"/>
      </w:pPr>
      <w:r>
        <w:rPr>
          <w:rFonts w:ascii="Arial" w:cs="Arial" w:eastAsia="Arial" w:hAnsi="Arial"/>
          <w:sz w:val="22"/>
          <w:szCs w:val="22"/>
        </w:rPr>
        <w:t xml:space="preserve">[7] Schwaber, K. &amp; Sutherland, J. (2020). The Scrum Guide. Scrum.org. Recuperado de https://scrumguides.org/scrum-guide.html</w:t>
      </w:r>
    </w:p>
    <w:p>
      <w:pPr>
        <w:spacing w:after="60" w:before="60"/>
        <w:ind w:left="720" w:hanging="360"/>
        <w:jc w:val="both"/>
      </w:pPr>
      <w:r>
        <w:rPr>
          <w:rFonts w:ascii="Arial" w:cs="Arial" w:eastAsia="Arial" w:hAnsi="Arial"/>
          <w:sz w:val="22"/>
          <w:szCs w:val="22"/>
        </w:rPr>
        <w:t xml:space="preserve">[8] AGEMED Bolivia. (2024). Reglamento de Farmacias y Droguerías. Agencia Estatal de Medicamentos y Tecnologías en Salud — Bolivia. Recuperado de https://www.agemed.gob.bo/</w:t>
      </w:r>
    </w:p>
    <w:p/>
    <w:p>
      <w:pPr>
        <w:pStyle w:val="Heading2"/>
      </w:pPr>
      <w:r>
        <w:rPr>
          <w:b/>
          <w:bCs/>
        </w:rPr>
        <w:t xml:space="preserve">BIBLIOGRAFÍA CAPÍTULO II — PLAN DE ASEGURAMIENTO DE LA CALIDAD DEL SOFTWARE (SQAP)</w:t>
      </w:r>
    </w:p>
    <w:p>
      <w:pPr>
        <w:spacing w:after="60" w:before="60"/>
        <w:ind w:left="720" w:hanging="360"/>
        <w:jc w:val="both"/>
      </w:pPr>
      <w:r>
        <w:rPr>
          <w:rFonts w:ascii="Arial" w:cs="Arial" w:eastAsia="Arial" w:hAnsi="Arial"/>
          <w:sz w:val="22"/>
          <w:szCs w:val="22"/>
        </w:rPr>
        <w:t xml:space="preserve">[9] IEEE Std 730-2014. (2014). IEEE Standard for Software Quality Assurance Processes. Institute of Electrical and Electronics Engineers.</w:t>
      </w:r>
    </w:p>
    <w:p>
      <w:pPr>
        <w:spacing w:after="60" w:before="60"/>
        <w:ind w:left="720" w:hanging="360"/>
        <w:jc w:val="both"/>
      </w:pPr>
      <w:r>
        <w:rPr>
          <w:rFonts w:ascii="Arial" w:cs="Arial" w:eastAsia="Arial" w:hAnsi="Arial"/>
          <w:sz w:val="22"/>
          <w:szCs w:val="22"/>
        </w:rPr>
        <w:t xml:space="preserve">[10] ISO/IEC 25010. (2011). Systems and Software Engineering — Systems and Software Quality Requirements and Evaluation (SQuaRE) — System and Software Quality Models. International Organization for Standardization.</w:t>
      </w:r>
    </w:p>
    <w:p>
      <w:pPr>
        <w:spacing w:after="60" w:before="60"/>
        <w:ind w:left="720" w:hanging="360"/>
        <w:jc w:val="both"/>
      </w:pPr>
      <w:r>
        <w:rPr>
          <w:rFonts w:ascii="Arial" w:cs="Arial" w:eastAsia="Arial" w:hAnsi="Arial"/>
          <w:sz w:val="22"/>
          <w:szCs w:val="22"/>
        </w:rPr>
        <w:t xml:space="preserve">[11] Sommerville, I. (2016). Software Engineering (10.ª ed.). Pearson Education.</w:t>
      </w:r>
    </w:p>
    <w:p>
      <w:pPr>
        <w:spacing w:after="60" w:before="60"/>
        <w:ind w:left="720" w:hanging="360"/>
        <w:jc w:val="both"/>
      </w:pPr>
      <w:r>
        <w:rPr>
          <w:rFonts w:ascii="Arial" w:cs="Arial" w:eastAsia="Arial" w:hAnsi="Arial"/>
          <w:sz w:val="22"/>
          <w:szCs w:val="22"/>
        </w:rPr>
        <w:t xml:space="preserve">[12] OWASP Foundation. (2024). OWASP Application Security Verification Standard (ASVS) v4.0.3. Recuperado de https://owasp.org/www-project-application-security-verification-standard/</w:t>
      </w:r>
    </w:p>
    <w:p>
      <w:pPr>
        <w:spacing w:after="60" w:before="60"/>
        <w:ind w:left="720" w:hanging="360"/>
        <w:jc w:val="both"/>
      </w:pPr>
      <w:r>
        <w:rPr>
          <w:rFonts w:ascii="Arial" w:cs="Arial" w:eastAsia="Arial" w:hAnsi="Arial"/>
          <w:sz w:val="22"/>
          <w:szCs w:val="22"/>
        </w:rPr>
        <w:t xml:space="preserve">[13] Dustin, E., Rashka, J. &amp; Paul, J. (1999). Automated Software Testing: Introduction, Management, and Performance. Addison-Wesley Professional.</w:t>
      </w:r>
    </w:p>
    <w:p>
      <w:pPr>
        <w:spacing w:after="60" w:before="60"/>
        <w:ind w:left="720" w:hanging="360"/>
        <w:jc w:val="both"/>
      </w:pPr>
      <w:r>
        <w:rPr>
          <w:rFonts w:ascii="Arial" w:cs="Arial" w:eastAsia="Arial" w:hAnsi="Arial"/>
          <w:sz w:val="22"/>
          <w:szCs w:val="22"/>
        </w:rPr>
        <w:t xml:space="preserve">[14] Galin, D. (2018). Software Quality: Concepts and Practice. Wiley-IEEE Press.</w:t>
      </w:r>
    </w:p>
    <w:p/>
    <w:p>
      <w:pPr>
        <w:pStyle w:val="Heading2"/>
      </w:pPr>
      <w:r>
        <w:rPr>
          <w:b/>
          <w:bCs/>
        </w:rPr>
        <w:t xml:space="preserve">BIBLIOGRAFÍA CAPÍTULO III — PROCESO DE DESARROLLO CON SCRUM</w:t>
      </w:r>
    </w:p>
    <w:p>
      <w:pPr>
        <w:spacing w:after="60" w:before="60"/>
        <w:ind w:left="720" w:hanging="360"/>
        <w:jc w:val="both"/>
      </w:pPr>
      <w:r>
        <w:rPr>
          <w:rFonts w:ascii="Arial" w:cs="Arial" w:eastAsia="Arial" w:hAnsi="Arial"/>
          <w:sz w:val="22"/>
          <w:szCs w:val="22"/>
        </w:rPr>
        <w:t xml:space="preserve">[15] Django Software Foundation. (2024). Django 5.0 Documentation. Recuperado de https://docs.djangoproject.com/en/5.0/</w:t>
      </w:r>
    </w:p>
    <w:p>
      <w:pPr>
        <w:spacing w:after="60" w:before="60"/>
        <w:ind w:left="720" w:hanging="360"/>
        <w:jc w:val="both"/>
      </w:pPr>
      <w:r>
        <w:rPr>
          <w:rFonts w:ascii="Arial" w:cs="Arial" w:eastAsia="Arial" w:hAnsi="Arial"/>
          <w:sz w:val="22"/>
          <w:szCs w:val="22"/>
        </w:rPr>
        <w:t xml:space="preserve">[16] Django REST Framework. (2024). Django REST Framework Documentation. Recuperado de https://www.django-rest-framework.org/</w:t>
      </w:r>
    </w:p>
    <w:p>
      <w:pPr>
        <w:spacing w:after="60" w:before="60"/>
        <w:ind w:left="720" w:hanging="360"/>
        <w:jc w:val="both"/>
      </w:pPr>
      <w:r>
        <w:rPr>
          <w:rFonts w:ascii="Arial" w:cs="Arial" w:eastAsia="Arial" w:hAnsi="Arial"/>
          <w:sz w:val="22"/>
          <w:szCs w:val="22"/>
        </w:rPr>
        <w:t xml:space="preserve">[17] SimpleJWT. (2024). djangorestframework-simplejwt Documentation. Recuperado de https://django-rest-framework-simplejwt.readthedocs.io/</w:t>
      </w:r>
    </w:p>
    <w:p>
      <w:pPr>
        <w:spacing w:after="60" w:before="60"/>
        <w:ind w:left="720" w:hanging="360"/>
        <w:jc w:val="both"/>
      </w:pPr>
      <w:r>
        <w:rPr>
          <w:rFonts w:ascii="Arial" w:cs="Arial" w:eastAsia="Arial" w:hAnsi="Arial"/>
          <w:sz w:val="22"/>
          <w:szCs w:val="22"/>
        </w:rPr>
        <w:t xml:space="preserve">[18] Meta Open Source. (2024). React 18 Documentation. Recuperado de https://react.dev/</w:t>
      </w:r>
    </w:p>
    <w:p>
      <w:pPr>
        <w:spacing w:after="60" w:before="60"/>
        <w:ind w:left="720" w:hanging="360"/>
        <w:jc w:val="both"/>
      </w:pPr>
      <w:r>
        <w:rPr>
          <w:rFonts w:ascii="Arial" w:cs="Arial" w:eastAsia="Arial" w:hAnsi="Arial"/>
          <w:sz w:val="22"/>
          <w:szCs w:val="22"/>
        </w:rPr>
        <w:t xml:space="preserve">[19] Expo. (2024). Expo SDK 52 Documentation. Recuperado de https://docs.expo.dev/</w:t>
      </w:r>
    </w:p>
    <w:p>
      <w:pPr>
        <w:spacing w:after="60" w:before="60"/>
        <w:ind w:left="720" w:hanging="360"/>
        <w:jc w:val="both"/>
      </w:pPr>
      <w:r>
        <w:rPr>
          <w:rFonts w:ascii="Arial" w:cs="Arial" w:eastAsia="Arial" w:hAnsi="Arial"/>
          <w:sz w:val="22"/>
          <w:szCs w:val="22"/>
        </w:rPr>
        <w:t xml:space="preserve">[20] PostgreSQL Global Development Group. (2024). PostgreSQL 15 Documentation. Recuperado de https://www.postgresql.org/docs/15/</w:t>
      </w:r>
    </w:p>
    <w:p>
      <w:pPr>
        <w:spacing w:after="60" w:before="60"/>
        <w:ind w:left="720" w:hanging="360"/>
        <w:jc w:val="both"/>
      </w:pPr>
      <w:r>
        <w:rPr>
          <w:rFonts w:ascii="Arial" w:cs="Arial" w:eastAsia="Arial" w:hAnsi="Arial"/>
          <w:sz w:val="22"/>
          <w:szCs w:val="22"/>
        </w:rPr>
        <w:t xml:space="preserve">[21] Celery Project. (2024). Celery 5 — Distributed Task Queue Documentation. Recuperado de https://docs.celeryq.dev/en/stable/</w:t>
      </w:r>
    </w:p>
    <w:p>
      <w:pPr>
        <w:spacing w:after="60" w:before="60"/>
        <w:ind w:left="720" w:hanging="360"/>
        <w:jc w:val="both"/>
      </w:pPr>
      <w:r>
        <w:rPr>
          <w:rFonts w:ascii="Arial" w:cs="Arial" w:eastAsia="Arial" w:hAnsi="Arial"/>
          <w:sz w:val="22"/>
          <w:szCs w:val="22"/>
        </w:rPr>
        <w:t xml:space="preserve">[22] Redis Labs. (2024). Redis Documentation. Recuperado de https://redis.io/docs/</w:t>
      </w:r>
    </w:p>
    <w:p>
      <w:pPr>
        <w:spacing w:after="60" w:before="60"/>
        <w:ind w:left="720" w:hanging="360"/>
        <w:jc w:val="both"/>
      </w:pPr>
      <w:r>
        <w:rPr>
          <w:rFonts w:ascii="Arial" w:cs="Arial" w:eastAsia="Arial" w:hAnsi="Arial"/>
          <w:sz w:val="22"/>
          <w:szCs w:val="22"/>
        </w:rPr>
        <w:t xml:space="preserve">[23] Schwaber, K. &amp; Beedle, M. (2002). Agile Software Development with Scrum. Prentice Hall.</w:t>
      </w:r>
    </w:p>
    <w:p/>
    <w:p>
      <w:pPr>
        <w:pStyle w:val="Heading2"/>
      </w:pPr>
      <w:r>
        <w:rPr>
          <w:b/>
          <w:bCs/>
        </w:rPr>
        <w:t xml:space="preserve">BIBLIOGRAFÍA CAPÍTULO IV — HERRAMIENTAS CASE</w:t>
      </w:r>
    </w:p>
    <w:p>
      <w:pPr>
        <w:spacing w:after="60" w:before="60"/>
        <w:ind w:left="720" w:hanging="360"/>
        <w:jc w:val="both"/>
      </w:pPr>
      <w:r>
        <w:rPr>
          <w:rFonts w:ascii="Arial" w:cs="Arial" w:eastAsia="Arial" w:hAnsi="Arial"/>
          <w:sz w:val="22"/>
          <w:szCs w:val="22"/>
        </w:rPr>
        <w:t xml:space="preserve">[24] Case, A. F. (1985). Computer-Aided Software Engineering (CASE): Technology for Improving Software Development Productivity. ACM SIGMIS Database, 16(3), 35–43.</w:t>
      </w:r>
    </w:p>
    <w:p>
      <w:pPr>
        <w:spacing w:after="60" w:before="60"/>
        <w:ind w:left="720" w:hanging="360"/>
        <w:jc w:val="both"/>
      </w:pPr>
      <w:r>
        <w:rPr>
          <w:rFonts w:ascii="Arial" w:cs="Arial" w:eastAsia="Arial" w:hAnsi="Arial"/>
          <w:sz w:val="22"/>
          <w:szCs w:val="22"/>
        </w:rPr>
        <w:t xml:space="preserve">[25] OpenAI. (2024). ChatGPT — Generative AI for Software Development. OpenAI. Recuperado de https://openai.com/chatgpt</w:t>
      </w:r>
    </w:p>
    <w:p>
      <w:pPr>
        <w:spacing w:after="60" w:before="60"/>
        <w:ind w:left="720" w:hanging="360"/>
        <w:jc w:val="both"/>
      </w:pPr>
      <w:r>
        <w:rPr>
          <w:rFonts w:ascii="Arial" w:cs="Arial" w:eastAsia="Arial" w:hAnsi="Arial"/>
          <w:sz w:val="22"/>
          <w:szCs w:val="22"/>
        </w:rPr>
        <w:t xml:space="preserve">[26] GitHub. (2024). GitHub Copilot Documentation. GitHub Inc. Recuperado de https://docs.github.com/en/copilot</w:t>
      </w:r>
    </w:p>
    <w:p>
      <w:pPr>
        <w:spacing w:after="60" w:before="60"/>
        <w:ind w:left="720" w:hanging="360"/>
        <w:jc w:val="both"/>
      </w:pPr>
      <w:r>
        <w:rPr>
          <w:rFonts w:ascii="Arial" w:cs="Arial" w:eastAsia="Arial" w:hAnsi="Arial"/>
          <w:sz w:val="22"/>
          <w:szCs w:val="22"/>
        </w:rPr>
        <w:t xml:space="preserve">[27] Lucidchart. (2024). Lucidchart — Intelligent Diagramming. Lucid Software Inc. Recuperado de https://www.lucidchart.com/</w:t>
      </w:r>
    </w:p>
    <w:p>
      <w:pPr>
        <w:spacing w:after="60" w:before="60"/>
        <w:ind w:left="720" w:hanging="360"/>
        <w:jc w:val="both"/>
      </w:pPr>
      <w:r>
        <w:rPr>
          <w:rFonts w:ascii="Arial" w:cs="Arial" w:eastAsia="Arial" w:hAnsi="Arial"/>
          <w:sz w:val="22"/>
          <w:szCs w:val="22"/>
        </w:rPr>
        <w:t xml:space="preserve">[28] Fowler, M. (2003). UML Distilled: A Brief Guide to the Standard Object Modeling Language (3.ª ed.). Addison-Wesley Professional.</w:t>
      </w:r>
    </w:p>
    <w:p>
      <w:pPr>
        <w:spacing w:after="60" w:before="60"/>
        <w:ind w:left="720" w:hanging="360"/>
        <w:jc w:val="both"/>
      </w:pPr>
      <w:r>
        <w:rPr>
          <w:rFonts w:ascii="Arial" w:cs="Arial" w:eastAsia="Arial" w:hAnsi="Arial"/>
          <w:sz w:val="22"/>
          <w:szCs w:val="22"/>
        </w:rPr>
        <w:t xml:space="preserve">[29] Chacon, S. &amp; Straub, B. (2014). Pro Git (2.ª ed.). Apress. Recuperado de https://git-scm.com/book/en/v2</w:t>
      </w:r>
    </w:p>
    <w:p>
      <w:pPr>
        <w:spacing w:after="60" w:before="60"/>
        <w:ind w:left="720" w:hanging="360"/>
        <w:jc w:val="both"/>
      </w:pPr>
      <w:r>
        <w:rPr>
          <w:rFonts w:ascii="Arial" w:cs="Arial" w:eastAsia="Arial" w:hAnsi="Arial"/>
          <w:sz w:val="22"/>
          <w:szCs w:val="22"/>
        </w:rPr>
        <w:t xml:space="preserve">[30] Atlassian. (2024). Git Workflows — Gitflow Workflow. Atlassian Bitbucket Documentation. Recuperado de https://www.atlassian.com/git/tutorials/comparing-workflows/gitflow-workflow</w:t>
      </w:r>
    </w:p>
    <w:p/>
    <w:p>
      <w:pPr>
        <w:pStyle w:val="Heading2"/>
      </w:pPr>
      <w:r>
        <w:rPr>
          <w:b/>
          <w:bCs/>
        </w:rPr>
        <w:t xml:space="preserve">BIBLIOGRAFÍA CAPÍTULO V — ASPECTOS LEGALES</w:t>
      </w:r>
    </w:p>
    <w:p>
      <w:pPr>
        <w:spacing w:after="60" w:before="60"/>
        <w:ind w:left="720" w:hanging="360"/>
        <w:jc w:val="both"/>
      </w:pPr>
      <w:r>
        <w:rPr>
          <w:rFonts w:ascii="Arial" w:cs="Arial" w:eastAsia="Arial" w:hAnsi="Arial"/>
          <w:sz w:val="22"/>
          <w:szCs w:val="22"/>
        </w:rPr>
        <w:t xml:space="preserve">[31] SENAPI Bolivia. (2024). Registro de Obras de Software. Servicio Nacional de Propiedad Intelectual. Recuperado de https://www.senapi.gob.bo/</w:t>
      </w:r>
    </w:p>
    <w:p>
      <w:pPr>
        <w:spacing w:after="60" w:before="60"/>
        <w:ind w:left="720" w:hanging="360"/>
        <w:jc w:val="both"/>
      </w:pPr>
      <w:r>
        <w:rPr>
          <w:rFonts w:ascii="Arial" w:cs="Arial" w:eastAsia="Arial" w:hAnsi="Arial"/>
          <w:sz w:val="22"/>
          <w:szCs w:val="22"/>
        </w:rPr>
        <w:t xml:space="preserve">[32] Asamblea Legislativa Plurinacional de Bolivia. (2011). Ley N° 164 — Ley General de Telecomunicaciones, Tecnologías de Información y Comunicación. Estado Plurinacional de Bolivia.</w:t>
      </w:r>
    </w:p>
    <w:p>
      <w:pPr>
        <w:spacing w:after="60" w:before="60"/>
        <w:ind w:left="720" w:hanging="360"/>
        <w:jc w:val="both"/>
      </w:pPr>
      <w:r>
        <w:rPr>
          <w:rFonts w:ascii="Arial" w:cs="Arial" w:eastAsia="Arial" w:hAnsi="Arial"/>
          <w:sz w:val="22"/>
          <w:szCs w:val="22"/>
        </w:rPr>
        <w:t xml:space="preserve">[33] Unidad de Regulación y Fiscalización de Telecomunicaciones y Transporte (ATT). (2024). Normativa de Telecomunicaciones Bolivia. Recuperado de https://www.att.gob.bo/</w:t>
      </w:r>
    </w:p>
    <w:p>
      <w:pPr>
        <w:spacing w:after="60" w:before="60"/>
        <w:ind w:left="720" w:hanging="360"/>
        <w:jc w:val="both"/>
      </w:pPr>
      <w:r>
        <w:rPr>
          <w:rFonts w:ascii="Arial" w:cs="Arial" w:eastAsia="Arial" w:hAnsi="Arial"/>
          <w:sz w:val="22"/>
          <w:szCs w:val="22"/>
        </w:rPr>
        <w:t xml:space="preserve">[34] Open Source Initiative. (2024). BSD 2-Clause License. Recuperado de https://opensource.org/licenses/BSD-2-Clause</w:t>
      </w:r>
    </w:p>
    <w:p>
      <w:pPr>
        <w:spacing w:after="60" w:before="60"/>
        <w:ind w:left="720" w:hanging="360"/>
        <w:jc w:val="both"/>
      </w:pPr>
      <w:r>
        <w:rPr>
          <w:rFonts w:ascii="Arial" w:cs="Arial" w:eastAsia="Arial" w:hAnsi="Arial"/>
          <w:sz w:val="22"/>
          <w:szCs w:val="22"/>
        </w:rPr>
        <w:t xml:space="preserve">[35] MIT License. (2024). The MIT License. Open Source Initiative. Recuperado de https://opensource.org/licenses/MIT</w:t>
      </w:r>
    </w:p>
    <w:p>
      <w:pPr>
        <w:spacing w:after="60" w:before="60"/>
        <w:ind w:left="720" w:hanging="360"/>
        <w:jc w:val="both"/>
      </w:pPr>
      <w:r>
        <w:rPr>
          <w:rFonts w:ascii="Arial" w:cs="Arial" w:eastAsia="Arial" w:hAnsi="Arial"/>
          <w:sz w:val="22"/>
          <w:szCs w:val="22"/>
        </w:rPr>
        <w:t xml:space="preserve">[36] AGEMED Bolivia. (2024). Reglamento de Farmacias y Droguerías — Ley del Medicamento. Agencia Estatal de Medicamentos y Tecnologías en Salud. Recuperado de https://www.agemed.gob.bo/</w:t>
      </w:r>
    </w:p>
    <w:p>
      <w:pPr>
        <w:spacing w:after="60" w:before="60"/>
        <w:ind w:left="720" w:hanging="360"/>
        <w:jc w:val="both"/>
      </w:pPr>
      <w:r>
        <w:rPr>
          <w:rFonts w:ascii="Arial" w:cs="Arial" w:eastAsia="Arial" w:hAnsi="Arial"/>
          <w:sz w:val="22"/>
          <w:szCs w:val="22"/>
        </w:rPr>
        <w:t xml:space="preserve">[37] Ministerio de Trabajo, Empleo y Previsión Social Bolivia. (2024). Código de Comercio y Ley General del Trabajo. Estado Plurinacional de Bolivia.</w:t>
      </w:r>
    </w:p>
    <w:p/>
    <w:p>
      <w:pPr>
        <w:pStyle w:val="Heading2"/>
      </w:pPr>
      <w:r>
        <w:rPr>
          <w:b/>
          <w:bCs/>
        </w:rPr>
        <w:t xml:space="preserve">BIBLIOGRAFÍA CAPÍTULO VI — INFRAESTRUCTURA PARA LA PRODUCCIÓN DE SOFTWARE</w:t>
      </w:r>
    </w:p>
    <w:p>
      <w:pPr>
        <w:spacing w:after="60" w:before="60"/>
        <w:ind w:left="720" w:hanging="360"/>
        <w:jc w:val="both"/>
      </w:pPr>
      <w:r>
        <w:rPr>
          <w:rFonts w:ascii="Arial" w:cs="Arial" w:eastAsia="Arial" w:hAnsi="Arial"/>
          <w:sz w:val="22"/>
          <w:szCs w:val="22"/>
        </w:rPr>
        <w:t xml:space="preserve">[38] Loeliger, J. &amp; McCullough, M. (2012). Version Control with Git (2.ª ed.). O'Reilly Media.</w:t>
      </w:r>
    </w:p>
    <w:p>
      <w:pPr>
        <w:spacing w:after="60" w:before="60"/>
        <w:ind w:left="720" w:hanging="360"/>
        <w:jc w:val="both"/>
      </w:pPr>
      <w:r>
        <w:rPr>
          <w:rFonts w:ascii="Arial" w:cs="Arial" w:eastAsia="Arial" w:hAnsi="Arial"/>
          <w:sz w:val="22"/>
          <w:szCs w:val="22"/>
        </w:rPr>
        <w:t xml:space="preserve">[39] Chacon, S. &amp; Straub, B. (2014). Pro Git (2.ª ed.). Apress. Recuperado de https://git-scm.com/book/en/v2</w:t>
      </w:r>
    </w:p>
    <w:p>
      <w:pPr>
        <w:spacing w:after="60" w:before="60"/>
        <w:ind w:left="720" w:hanging="360"/>
        <w:jc w:val="both"/>
      </w:pPr>
      <w:r>
        <w:rPr>
          <w:rFonts w:ascii="Arial" w:cs="Arial" w:eastAsia="Arial" w:hAnsi="Arial"/>
          <w:sz w:val="22"/>
          <w:szCs w:val="22"/>
        </w:rPr>
        <w:t xml:space="preserve">[40] IEEE Std 828-2012. (2012). IEEE Standard for Configuration Management in Systems and Software Engineering. Institute of Electrical and Electronics Engineers.</w:t>
      </w:r>
    </w:p>
    <w:p>
      <w:pPr>
        <w:spacing w:after="60" w:before="60"/>
        <w:ind w:left="720" w:hanging="360"/>
        <w:jc w:val="both"/>
      </w:pPr>
      <w:r>
        <w:rPr>
          <w:rFonts w:ascii="Arial" w:cs="Arial" w:eastAsia="Arial" w:hAnsi="Arial"/>
          <w:sz w:val="22"/>
          <w:szCs w:val="22"/>
        </w:rPr>
        <w:t xml:space="preserve">[41] Trello Inc. (2024). Trello Documentation — Boards, Lists and Cards. Atlassian. Recuperado de https://support.atlassian.com/trello/</w:t>
      </w:r>
    </w:p>
    <w:p>
      <w:pPr>
        <w:spacing w:after="60" w:before="60"/>
        <w:ind w:left="720" w:hanging="360"/>
        <w:jc w:val="both"/>
      </w:pPr>
      <w:r>
        <w:rPr>
          <w:rFonts w:ascii="Arial" w:cs="Arial" w:eastAsia="Arial" w:hAnsi="Arial"/>
          <w:sz w:val="22"/>
          <w:szCs w:val="22"/>
        </w:rPr>
        <w:t xml:space="preserve">[42] Microsoft Corporation. (2024). Microsoft Word Documentation. Microsoft Support. Recuperado de https://support.microsoft.com/en-us/word</w:t>
      </w:r>
    </w:p>
    <w:p>
      <w:pPr>
        <w:spacing w:after="60" w:before="60"/>
        <w:ind w:left="720" w:hanging="360"/>
        <w:jc w:val="both"/>
      </w:pPr>
      <w:r>
        <w:rPr>
          <w:rFonts w:ascii="Arial" w:cs="Arial" w:eastAsia="Arial" w:hAnsi="Arial"/>
          <w:sz w:val="22"/>
          <w:szCs w:val="22"/>
        </w:rPr>
        <w:t xml:space="preserve">[43] Atlassian. (2024). Gitflow Workflow. Atlassian Git Tutorials. Recuperado de https://www.atlassian.com/git/tutorials/comparing-workflows/gitflow-workflow</w:t>
      </w:r>
    </w:p>
    <w:p/>
    <w:p>
      <w:pPr>
        <w:pStyle w:val="Heading2"/>
      </w:pPr>
      <w:r>
        <w:rPr>
          <w:b/>
          <w:bCs/>
        </w:rPr>
        <w:t xml:space="preserve">BIBLIOGRAFÍA CAPÍTULO VII — SITIO WEB</w:t>
      </w:r>
    </w:p>
    <w:p>
      <w:pPr>
        <w:spacing w:after="60" w:before="60"/>
        <w:ind w:left="720" w:hanging="360"/>
        <w:jc w:val="both"/>
      </w:pPr>
      <w:r>
        <w:rPr>
          <w:rFonts w:ascii="Arial" w:cs="Arial" w:eastAsia="Arial" w:hAnsi="Arial"/>
          <w:sz w:val="22"/>
          <w:szCs w:val="22"/>
        </w:rPr>
        <w:t xml:space="preserve">[44] Vite. (2024). Vite 5 — Next Generation Frontend Tooling. Recuperado de https://vitejs.dev/guide/</w:t>
      </w:r>
    </w:p>
    <w:p>
      <w:pPr>
        <w:spacing w:after="60" w:before="60"/>
        <w:ind w:left="720" w:hanging="360"/>
        <w:jc w:val="both"/>
      </w:pPr>
      <w:r>
        <w:rPr>
          <w:rFonts w:ascii="Arial" w:cs="Arial" w:eastAsia="Arial" w:hAnsi="Arial"/>
          <w:sz w:val="22"/>
          <w:szCs w:val="22"/>
        </w:rPr>
        <w:t xml:space="preserve">[45] React Router. (2024). React Router v6 Documentation. Recuperado de https://reactrouter.com/en/main</w:t>
      </w:r>
    </w:p>
    <w:p>
      <w:pPr>
        <w:spacing w:after="60" w:before="60"/>
        <w:ind w:left="720" w:hanging="360"/>
        <w:jc w:val="both"/>
      </w:pPr>
      <w:r>
        <w:rPr>
          <w:rFonts w:ascii="Arial" w:cs="Arial" w:eastAsia="Arial" w:hAnsi="Arial"/>
          <w:sz w:val="22"/>
          <w:szCs w:val="22"/>
        </w:rPr>
        <w:t xml:space="preserve">[46] Sharma, A. (2023). Modern React with Hooks and Context API. O'Reilly Media.</w:t>
      </w:r>
    </w:p>
    <w:p>
      <w:pPr>
        <w:spacing w:after="60" w:before="60"/>
        <w:ind w:left="720" w:hanging="360"/>
        <w:jc w:val="both"/>
      </w:pPr>
      <w:r>
        <w:rPr>
          <w:rFonts w:ascii="Arial" w:cs="Arial" w:eastAsia="Arial" w:hAnsi="Arial"/>
          <w:sz w:val="22"/>
          <w:szCs w:val="22"/>
        </w:rPr>
        <w:t xml:space="preserve">[47] Wieruch, R. (2024). The Road to React. Leanpub. Recuperado de https://www.roadtoreact.com/</w:t>
      </w:r>
    </w:p>
    <w:p>
      <w:pPr>
        <w:spacing w:after="60" w:before="60"/>
        <w:ind w:left="720" w:hanging="360"/>
        <w:jc w:val="both"/>
      </w:pPr>
      <w:r>
        <w:rPr>
          <w:rFonts w:ascii="Arial" w:cs="Arial" w:eastAsia="Arial" w:hAnsi="Arial"/>
          <w:sz w:val="22"/>
          <w:szCs w:val="22"/>
        </w:rPr>
        <w:t xml:space="preserve">[48] React Native. (2024). React Native Documentation. Meta Open Source. Recuperado de https://reactnative.dev/docs/getting-started</w:t>
      </w:r>
    </w:p>
    <w:p>
      <w:pPr>
        <w:spacing w:after="60" w:before="60"/>
        <w:ind w:left="720" w:hanging="360"/>
        <w:jc w:val="both"/>
      </w:pPr>
      <w:r>
        <w:rPr>
          <w:rFonts w:ascii="Arial" w:cs="Arial" w:eastAsia="Arial" w:hAnsi="Arial"/>
          <w:sz w:val="22"/>
          <w:szCs w:val="22"/>
        </w:rPr>
        <w:t xml:space="preserve">[49] Fitzpatrick, B. (2022). Responsive Web Design: The Best Practices. Smashing Magazine. Recuperado de https://www.smashingmagazine.com/</w:t>
      </w:r>
    </w:p>
    <w:p/>
    <w:p>
      <w:pPr>
        <w:pStyle w:val="Heading2"/>
      </w:pPr>
      <w:r>
        <w:rPr>
          <w:b/>
          <w:bCs/>
        </w:rPr>
        <w:t xml:space="preserve">BIBLIOGRAFÍA CAPÍTULO VIII — ESTUDIO DE MERCADO</w:t>
      </w:r>
    </w:p>
    <w:p>
      <w:pPr>
        <w:spacing w:after="60" w:before="60"/>
        <w:ind w:left="720" w:hanging="360"/>
        <w:jc w:val="both"/>
      </w:pPr>
      <w:r>
        <w:rPr>
          <w:rFonts w:ascii="Arial" w:cs="Arial" w:eastAsia="Arial" w:hAnsi="Arial"/>
          <w:sz w:val="22"/>
          <w:szCs w:val="22"/>
        </w:rPr>
        <w:t xml:space="preserve">[50] Grand View Research. (2024). Pharmacy Management Software Market Size, Share &amp; Trends Analysis Report 2024–2032. Recuperado de https://www.grandviewresearch.com/industry-analysis/pharmacy-management-software-market</w:t>
      </w:r>
    </w:p>
    <w:p>
      <w:pPr>
        <w:spacing w:after="60" w:before="60"/>
        <w:ind w:left="720" w:hanging="360"/>
        <w:jc w:val="both"/>
      </w:pPr>
      <w:r>
        <w:rPr>
          <w:rFonts w:ascii="Arial" w:cs="Arial" w:eastAsia="Arial" w:hAnsi="Arial"/>
          <w:sz w:val="22"/>
          <w:szCs w:val="22"/>
        </w:rPr>
        <w:t xml:space="preserve">[51] MarketsandMarkets. (2024). Pharmacy Management Systems Market — Global Forecast to 2032. Recuperado de https://www.marketsandmarkets.com/Market-Reports/pharmacy-management-systems-market.html</w:t>
      </w:r>
    </w:p>
    <w:p>
      <w:pPr>
        <w:spacing w:after="60" w:before="60"/>
        <w:ind w:left="720" w:hanging="360"/>
        <w:jc w:val="both"/>
      </w:pPr>
      <w:r>
        <w:rPr>
          <w:rFonts w:ascii="Arial" w:cs="Arial" w:eastAsia="Arial" w:hAnsi="Arial"/>
          <w:sz w:val="22"/>
          <w:szCs w:val="22"/>
        </w:rPr>
        <w:t xml:space="preserve">[52] Ministerio de Salud de Bolivia. (2023). Informe del Sector Farmacéutico Nacional 2022–2023. Ministerio de Salud y Deportes del Estado Plurinacional de Bolivia.</w:t>
      </w:r>
    </w:p>
    <w:p>
      <w:pPr>
        <w:spacing w:after="60" w:before="60"/>
        <w:ind w:left="720" w:hanging="360"/>
        <w:jc w:val="both"/>
      </w:pPr>
      <w:r>
        <w:rPr>
          <w:rFonts w:ascii="Arial" w:cs="Arial" w:eastAsia="Arial" w:hAnsi="Arial"/>
          <w:sz w:val="22"/>
          <w:szCs w:val="22"/>
        </w:rPr>
        <w:t xml:space="preserve">[53] INE Bolivia. (2023). Indicadores Económicos Bolivia 2023. Instituto Nacional de Estadística. Recuperado de https://www.ine.gob.bo/</w:t>
      </w:r>
    </w:p>
    <w:p>
      <w:pPr>
        <w:spacing w:after="60" w:before="60"/>
        <w:ind w:left="720" w:hanging="360"/>
        <w:jc w:val="both"/>
      </w:pPr>
      <w:r>
        <w:rPr>
          <w:rFonts w:ascii="Arial" w:cs="Arial" w:eastAsia="Arial" w:hAnsi="Arial"/>
          <w:sz w:val="22"/>
          <w:szCs w:val="22"/>
        </w:rPr>
        <w:t xml:space="preserve">[54] Kotler, P. &amp; Keller, K. L. (2022). Marketing Management (16.ª ed.). Pearson Education.</w:t>
      </w:r>
    </w:p>
    <w:p>
      <w:pPr>
        <w:spacing w:after="60" w:before="60"/>
        <w:ind w:left="720" w:hanging="360"/>
        <w:jc w:val="both"/>
      </w:pPr>
      <w:r>
        <w:rPr>
          <w:rFonts w:ascii="Arial" w:cs="Arial" w:eastAsia="Arial" w:hAnsi="Arial"/>
          <w:sz w:val="22"/>
          <w:szCs w:val="22"/>
        </w:rPr>
        <w:t xml:space="preserve">[55] Statista Research Department. (2024). Digital Health Market in Latin America. Recuperado de https://www.statista.com/topics/digital-health-latin-america/</w:t>
      </w:r>
    </w:p>
    <w:p>
      <w:pPr>
        <w:spacing w:after="60" w:before="60"/>
        <w:ind w:left="720" w:hanging="360"/>
        <w:jc w:val="both"/>
      </w:pPr>
      <w:r>
        <w:rPr>
          <w:rFonts w:ascii="Arial" w:cs="Arial" w:eastAsia="Arial" w:hAnsi="Arial"/>
          <w:sz w:val="22"/>
          <w:szCs w:val="22"/>
        </w:rPr>
        <w:t xml:space="preserve">[56] CEPAL. (2023). La Transformación Digital de América Latina y el Caribe. Comisión Económica para América Latina y el Caribe. Recuperado de https://www.cepal.org/</w:t>
      </w:r>
    </w:p>
    <w:p/>
    <w:p>
      <w:pPr>
        <w:pStyle w:val="Heading2"/>
      </w:pPr>
      <w:r>
        <w:rPr>
          <w:b/>
          <w:bCs/>
        </w:rPr>
        <w:t xml:space="preserve">BIBLIOGRAFÍA CAPÍTULO IX — PRUEBAS EN EL SOFTWARE</w:t>
      </w:r>
    </w:p>
    <w:p>
      <w:pPr>
        <w:spacing w:after="60" w:before="60"/>
        <w:ind w:left="720" w:hanging="360"/>
        <w:jc w:val="both"/>
      </w:pPr>
      <w:r>
        <w:rPr>
          <w:rFonts w:ascii="Arial" w:cs="Arial" w:eastAsia="Arial" w:hAnsi="Arial"/>
          <w:sz w:val="22"/>
          <w:szCs w:val="22"/>
        </w:rPr>
        <w:t xml:space="preserve">[57] McCabe, T. J. (1976). A Complexity Measure. IEEE Transactions on Software Engineering, 2(4), 308–320. https://doi.org/10.1109/TSE.1976.233837</w:t>
      </w:r>
    </w:p>
    <w:p>
      <w:pPr>
        <w:spacing w:after="60" w:before="60"/>
        <w:ind w:left="720" w:hanging="360"/>
        <w:jc w:val="both"/>
      </w:pPr>
      <w:r>
        <w:rPr>
          <w:rFonts w:ascii="Arial" w:cs="Arial" w:eastAsia="Arial" w:hAnsi="Arial"/>
          <w:sz w:val="22"/>
          <w:szCs w:val="22"/>
        </w:rPr>
        <w:t xml:space="preserve">[58] Myers, G. J., Sandler, C. &amp; Badgett, T. (2011). The Art of Software Testing (3.ª ed.). John Wiley &amp; Sons.</w:t>
      </w:r>
    </w:p>
    <w:p>
      <w:pPr>
        <w:spacing w:after="60" w:before="60"/>
        <w:ind w:left="720" w:hanging="360"/>
        <w:jc w:val="both"/>
      </w:pPr>
      <w:r>
        <w:rPr>
          <w:rFonts w:ascii="Arial" w:cs="Arial" w:eastAsia="Arial" w:hAnsi="Arial"/>
          <w:sz w:val="22"/>
          <w:szCs w:val="22"/>
        </w:rPr>
        <w:t xml:space="preserve">[59] OWASP Foundation. (2024). OWASP Top 10 — 2021 Edition. Recuperado de https://owasp.org/www-project-top-ten/</w:t>
      </w:r>
    </w:p>
    <w:p>
      <w:pPr>
        <w:spacing w:after="60" w:before="60"/>
        <w:ind w:left="720" w:hanging="360"/>
        <w:jc w:val="both"/>
      </w:pPr>
      <w:r>
        <w:rPr>
          <w:rFonts w:ascii="Arial" w:cs="Arial" w:eastAsia="Arial" w:hAnsi="Arial"/>
          <w:sz w:val="22"/>
          <w:szCs w:val="22"/>
        </w:rPr>
        <w:t xml:space="preserve">[60] OWASP ZAP. (2024). OWASP ZAP (Zed Attack Proxy) — User Guide v2.14. Recuperado de https://www.zaproxy.org/docs/</w:t>
      </w:r>
    </w:p>
    <w:p>
      <w:pPr>
        <w:spacing w:after="60" w:before="60"/>
        <w:ind w:left="720" w:hanging="360"/>
        <w:jc w:val="both"/>
      </w:pPr>
      <w:r>
        <w:rPr>
          <w:rFonts w:ascii="Arial" w:cs="Arial" w:eastAsia="Arial" w:hAnsi="Arial"/>
          <w:sz w:val="22"/>
          <w:szCs w:val="22"/>
        </w:rPr>
        <w:t xml:space="preserve">[61] Humble, J. &amp; Farley, D. (2010). Continuous Delivery: Reliable Software Releases through Build, Test, and Deployment Automation. Addison-Wesley Professional.</w:t>
      </w:r>
    </w:p>
    <w:p>
      <w:pPr>
        <w:spacing w:after="60" w:before="60"/>
        <w:ind w:left="720" w:hanging="360"/>
        <w:jc w:val="both"/>
      </w:pPr>
      <w:r>
        <w:rPr>
          <w:rFonts w:ascii="Arial" w:cs="Arial" w:eastAsia="Arial" w:hAnsi="Arial"/>
          <w:sz w:val="22"/>
          <w:szCs w:val="22"/>
        </w:rPr>
        <w:t xml:space="preserve">[62] Django REST Framework. (2024). Testing — APITestCase Documentation. Recuperado de https://www.django-rest-framework.org/api-guide/testing/</w:t>
      </w:r>
    </w:p>
    <w:p/>
    <w:p>
      <w:pPr>
        <w:pStyle w:val="Heading2"/>
      </w:pPr>
      <w:r>
        <w:rPr>
          <w:b/>
          <w:bCs/>
        </w:rPr>
        <w:t xml:space="preserve">BIBLIOGRAFÍA CAPÍTULO X — MARKETING</w:t>
      </w:r>
    </w:p>
    <w:p>
      <w:pPr>
        <w:spacing w:after="60" w:before="60"/>
        <w:ind w:left="720" w:hanging="360"/>
        <w:jc w:val="both"/>
      </w:pPr>
      <w:r>
        <w:rPr>
          <w:rFonts w:ascii="Arial" w:cs="Arial" w:eastAsia="Arial" w:hAnsi="Arial"/>
          <w:sz w:val="22"/>
          <w:szCs w:val="22"/>
        </w:rPr>
        <w:t xml:space="preserve">[63] Chaffey, D. &amp; Ellis-Chadwick, F. (2022). Digital Marketing: Strategy, Implementation and Practice (8.ª ed.). Pearson Education.</w:t>
      </w:r>
    </w:p>
    <w:p>
      <w:pPr>
        <w:spacing w:after="60" w:before="60"/>
        <w:ind w:left="720" w:hanging="360"/>
        <w:jc w:val="both"/>
      </w:pPr>
      <w:r>
        <w:rPr>
          <w:rFonts w:ascii="Arial" w:cs="Arial" w:eastAsia="Arial" w:hAnsi="Arial"/>
          <w:sz w:val="22"/>
          <w:szCs w:val="22"/>
        </w:rPr>
        <w:t xml:space="preserve">[64] Ries, E. (2011). The Lean Startup: How Today's Entrepreneurs Use Continuous Innovation to Create Radically Successful Businesses. Crown Business.</w:t>
      </w:r>
    </w:p>
    <w:p>
      <w:pPr>
        <w:spacing w:after="60" w:before="60"/>
        <w:ind w:left="720" w:hanging="360"/>
        <w:jc w:val="both"/>
      </w:pPr>
      <w:r>
        <w:rPr>
          <w:rFonts w:ascii="Arial" w:cs="Arial" w:eastAsia="Arial" w:hAnsi="Arial"/>
          <w:sz w:val="22"/>
          <w:szCs w:val="22"/>
        </w:rPr>
        <w:t xml:space="preserve">[65] Fishkin, R. (2018). Lost and Founder: A Painfully Honest Field Guide to the Startup World. Portfolio/Penguin.</w:t>
      </w:r>
    </w:p>
    <w:p>
      <w:pPr>
        <w:spacing w:after="60" w:before="60"/>
        <w:ind w:left="720" w:hanging="360"/>
        <w:jc w:val="both"/>
      </w:pPr>
      <w:r>
        <w:rPr>
          <w:rFonts w:ascii="Arial" w:cs="Arial" w:eastAsia="Arial" w:hAnsi="Arial"/>
          <w:sz w:val="22"/>
          <w:szCs w:val="22"/>
        </w:rPr>
        <w:t xml:space="preserve">[66] HubSpot Research. (2024). State of Marketing Report 2024. HubSpot. Recuperado de https://www.hubspot.com/state-of-marketing</w:t>
      </w:r>
    </w:p>
    <w:p>
      <w:pPr>
        <w:spacing w:after="60" w:before="60"/>
        <w:ind w:left="720" w:hanging="360"/>
        <w:jc w:val="both"/>
      </w:pPr>
      <w:r>
        <w:rPr>
          <w:rFonts w:ascii="Arial" w:cs="Arial" w:eastAsia="Arial" w:hAnsi="Arial"/>
          <w:sz w:val="22"/>
          <w:szCs w:val="22"/>
        </w:rPr>
        <w:t xml:space="preserve">[67] Google Ads Help. (2024). About conversion tracking. Google LLC. Recuperado de https://support.google.com/google-ads/</w:t>
      </w:r>
    </w:p>
    <w:p>
      <w:pPr>
        <w:spacing w:after="60" w:before="60"/>
        <w:ind w:left="720" w:hanging="360"/>
        <w:jc w:val="both"/>
      </w:pPr>
      <w:r>
        <w:rPr>
          <w:rFonts w:ascii="Arial" w:cs="Arial" w:eastAsia="Arial" w:hAnsi="Arial"/>
          <w:sz w:val="22"/>
          <w:szCs w:val="22"/>
        </w:rPr>
        <w:t xml:space="preserve">[68] Meta for Business. (2024). Facebook Ads Manager — Guía de segmentación. Meta Platforms Inc. Recuperado de https://www.facebook.com/business/</w:t>
      </w:r>
    </w:p>
    <w:p>
      <w:pPr>
        <w:spacing w:after="60" w:before="60"/>
        <w:ind w:left="720" w:hanging="360"/>
        <w:jc w:val="both"/>
      </w:pPr>
      <w:r>
        <w:rPr>
          <w:rFonts w:ascii="Arial" w:cs="Arial" w:eastAsia="Arial" w:hAnsi="Arial"/>
          <w:sz w:val="22"/>
          <w:szCs w:val="22"/>
        </w:rPr>
        <w:t xml:space="preserve">[69] Blattberg, R. C., Malthouse, E. C. &amp; Neslin, S. A. (2009). Customer Lifetime Value: Empirical Generalizations and Some Conceptual Questions. Journal of Interactive Marketing, 23(2), 157–168.</w:t>
      </w:r>
    </w:p>
    <w:p/>
    <w:p>
      <w:pPr>
        <w:pStyle w:val="Heading2"/>
      </w:pPr>
      <w:r>
        <w:rPr>
          <w:b/>
          <w:bCs/>
        </w:rPr>
        <w:t xml:space="preserve">BIBLIOGRAFÍA CAPÍTULO XI — PUESTA EN MARCHA O DESPLIEGUE</w:t>
      </w:r>
    </w:p>
    <w:p>
      <w:pPr>
        <w:spacing w:after="60" w:before="60"/>
        <w:ind w:left="720" w:hanging="360"/>
        <w:jc w:val="both"/>
      </w:pPr>
      <w:r>
        <w:rPr>
          <w:rFonts w:ascii="Arial" w:cs="Arial" w:eastAsia="Arial" w:hAnsi="Arial"/>
          <w:sz w:val="22"/>
          <w:szCs w:val="22"/>
        </w:rPr>
        <w:t xml:space="preserve">[70] Render. (2024). Render Documentation — Getting Started with Web Services. Render Services Inc. Recuperado de https://render.com/docs</w:t>
      </w:r>
    </w:p>
    <w:p>
      <w:pPr>
        <w:spacing w:after="60" w:before="60"/>
        <w:ind w:left="720" w:hanging="360"/>
        <w:jc w:val="both"/>
      </w:pPr>
      <w:r>
        <w:rPr>
          <w:rFonts w:ascii="Arial" w:cs="Arial" w:eastAsia="Arial" w:hAnsi="Arial"/>
          <w:sz w:val="22"/>
          <w:szCs w:val="22"/>
        </w:rPr>
        <w:t xml:space="preserve">[71] Amazon Web Services. (2024). AWS Elastic Beanstalk Developer Guide. Amazon Web Services Inc. Recuperado de https://docs.aws.amazon.com/elasticbeanstalk/</w:t>
      </w:r>
    </w:p>
    <w:p>
      <w:pPr>
        <w:spacing w:after="60" w:before="60"/>
        <w:ind w:left="720" w:hanging="360"/>
        <w:jc w:val="both"/>
      </w:pPr>
      <w:r>
        <w:rPr>
          <w:rFonts w:ascii="Arial" w:cs="Arial" w:eastAsia="Arial" w:hAnsi="Arial"/>
          <w:sz w:val="22"/>
          <w:szCs w:val="22"/>
        </w:rPr>
        <w:t xml:space="preserve">[72] Amazon Web Services. (2024). Amazon RDS for PostgreSQL — User Guide. AWS Documentation. Recuperado de https://docs.aws.amazon.com/AmazonRDS/latest/UserGuide/CHAP_PostgreSQL.html</w:t>
      </w:r>
    </w:p>
    <w:p>
      <w:pPr>
        <w:spacing w:after="60" w:before="60"/>
        <w:ind w:left="720" w:hanging="360"/>
        <w:jc w:val="both"/>
      </w:pPr>
      <w:r>
        <w:rPr>
          <w:rFonts w:ascii="Arial" w:cs="Arial" w:eastAsia="Arial" w:hAnsi="Arial"/>
          <w:sz w:val="22"/>
          <w:szCs w:val="22"/>
        </w:rPr>
        <w:t xml:space="preserve">[73] Armbrust, M., Fox, A., Griffith, R., Joseph, A. D., Katz, R. &amp; Zaharia, M. (2010). A View of Cloud Computing. Communications of the ACM, 53(4), 50–58.</w:t>
      </w:r>
    </w:p>
    <w:p>
      <w:pPr>
        <w:spacing w:after="60" w:before="60"/>
        <w:ind w:left="720" w:hanging="360"/>
        <w:jc w:val="both"/>
      </w:pPr>
      <w:r>
        <w:rPr>
          <w:rFonts w:ascii="Arial" w:cs="Arial" w:eastAsia="Arial" w:hAnsi="Arial"/>
          <w:sz w:val="22"/>
          <w:szCs w:val="22"/>
        </w:rPr>
        <w:t xml:space="preserve">[74] NIST. (2011). The NIST Definition of Cloud Computing. National Institute of Standards and Technology. Special Publication 800-145. Recuperado de https://nvlpubs.nist.gov/nistpubs/Legacy/SP/nistspecialpublication800-145.pdf</w:t>
      </w:r>
    </w:p>
    <w:p>
      <w:pPr>
        <w:spacing w:after="60" w:before="60"/>
        <w:ind w:left="720" w:hanging="360"/>
        <w:jc w:val="both"/>
      </w:pPr>
      <w:r>
        <w:rPr>
          <w:rFonts w:ascii="Arial" w:cs="Arial" w:eastAsia="Arial" w:hAnsi="Arial"/>
          <w:sz w:val="22"/>
          <w:szCs w:val="22"/>
        </w:rPr>
        <w:t xml:space="preserve">[75] Docker Inc. (2024). Docker Documentation — Get Started. Recuperado de https://docs.docker.com/get-started/</w:t>
      </w:r>
    </w:p>
    <w:p>
      <w:pPr>
        <w:spacing w:after="60" w:before="60"/>
        <w:ind w:left="720" w:hanging="360"/>
        <w:jc w:val="both"/>
      </w:pPr>
      <w:r>
        <w:rPr>
          <w:rFonts w:ascii="Arial" w:cs="Arial" w:eastAsia="Arial" w:hAnsi="Arial"/>
          <w:sz w:val="22"/>
          <w:szCs w:val="22"/>
        </w:rPr>
        <w:t xml:space="preserve">[76] Amazon CloudFront. (2024). Amazon CloudFront Developer Guide. Amazon Web Services. Recuperado de https://docs.aws.amazon.com/AmazonCloudFront/latest/DeveloperGuide/</w:t>
      </w:r>
    </w:p>
    <w:p/>
    <w:p>
      <w:pPr>
        <w:pStyle w:val="Heading2"/>
      </w:pPr>
      <w:r>
        <w:rPr>
          <w:b/>
          <w:bCs/>
        </w:rPr>
        <w:t xml:space="preserve">BIBLIOGRAFÍA CAPÍTULO XII — SOFTWARE COMO PRODUCTO</w:t>
      </w:r>
    </w:p>
    <w:p>
      <w:pPr>
        <w:spacing w:after="60" w:before="60"/>
        <w:ind w:left="720" w:hanging="360"/>
        <w:jc w:val="both"/>
      </w:pPr>
      <w:r>
        <w:rPr>
          <w:rFonts w:ascii="Arial" w:cs="Arial" w:eastAsia="Arial" w:hAnsi="Arial"/>
          <w:sz w:val="22"/>
          <w:szCs w:val="22"/>
        </w:rPr>
        <w:t xml:space="preserve">[77] Facebook Prophet. (2024). Prophet — Forecasting at Scale. Meta AI. Recuperado de https://facebook.github.io/prophet/docs/quick_start.html</w:t>
      </w:r>
    </w:p>
    <w:p>
      <w:pPr>
        <w:spacing w:after="60" w:before="60"/>
        <w:ind w:left="720" w:hanging="360"/>
        <w:jc w:val="both"/>
      </w:pPr>
      <w:r>
        <w:rPr>
          <w:rFonts w:ascii="Arial" w:cs="Arial" w:eastAsia="Arial" w:hAnsi="Arial"/>
          <w:sz w:val="22"/>
          <w:szCs w:val="22"/>
        </w:rPr>
        <w:t xml:space="preserve">[78] XGBoost Developers. (2024). XGBoost Documentation. DMLC. Recuperado de https://xgboost.readthedocs.io/en/stable/</w:t>
      </w:r>
    </w:p>
    <w:p>
      <w:pPr>
        <w:spacing w:after="60" w:before="60"/>
        <w:ind w:left="720" w:hanging="360"/>
        <w:jc w:val="both"/>
      </w:pPr>
      <w:r>
        <w:rPr>
          <w:rFonts w:ascii="Arial" w:cs="Arial" w:eastAsia="Arial" w:hAnsi="Arial"/>
          <w:sz w:val="22"/>
          <w:szCs w:val="22"/>
        </w:rPr>
        <w:t xml:space="preserve">[79] scikit-learn Developers. (2024). scikit-learn: Machine Learning in Python. Recuperado de https://scikit-learn.org/stable/documentation.html</w:t>
      </w:r>
    </w:p>
    <w:p>
      <w:pPr>
        <w:spacing w:after="60" w:before="60"/>
        <w:ind w:left="720" w:hanging="360"/>
        <w:jc w:val="both"/>
      </w:pPr>
      <w:r>
        <w:rPr>
          <w:rFonts w:ascii="Arial" w:cs="Arial" w:eastAsia="Arial" w:hAnsi="Arial"/>
          <w:sz w:val="22"/>
          <w:szCs w:val="22"/>
        </w:rPr>
        <w:t xml:space="preserve">[80] Nielsen, J. (1994). Usability Engineering. Morgan Kaufmann Publishers.</w:t>
      </w:r>
    </w:p>
    <w:p>
      <w:pPr>
        <w:spacing w:after="60" w:before="60"/>
        <w:ind w:left="720" w:hanging="360"/>
        <w:jc w:val="both"/>
      </w:pPr>
      <w:r>
        <w:rPr>
          <w:rFonts w:ascii="Arial" w:cs="Arial" w:eastAsia="Arial" w:hAnsi="Arial"/>
          <w:sz w:val="22"/>
          <w:szCs w:val="22"/>
        </w:rPr>
        <w:t xml:space="preserve">[81] Norman, D. A. (2013). The Design of Everyday Things (Revised and expanded ed.). Basic Books.</w:t>
      </w:r>
    </w:p>
    <w:p>
      <w:pPr>
        <w:spacing w:after="60" w:before="60"/>
        <w:ind w:left="720" w:hanging="360"/>
        <w:jc w:val="both"/>
      </w:pPr>
      <w:r>
        <w:rPr>
          <w:rFonts w:ascii="Arial" w:cs="Arial" w:eastAsia="Arial" w:hAnsi="Arial"/>
          <w:sz w:val="22"/>
          <w:szCs w:val="22"/>
        </w:rPr>
        <w:t xml:space="preserve">[82] Spolsky, J. (2001). User Interface Design for Programmers. Apress.</w:t>
      </w:r>
    </w:p>
    <w:p>
      <w:pPr>
        <w:spacing w:after="60" w:before="60"/>
        <w:ind w:left="720" w:hanging="360"/>
        <w:jc w:val="both"/>
      </w:pPr>
      <w:r>
        <w:rPr>
          <w:rFonts w:ascii="Arial" w:cs="Arial" w:eastAsia="Arial" w:hAnsi="Arial"/>
          <w:sz w:val="22"/>
          <w:szCs w:val="22"/>
        </w:rPr>
        <w:t xml:space="preserve">[83] JWT.io. (2024). Introduction to JSON Web Tokens. Auth0 Inc. Recuperado de https://jwt.io/introduction</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Página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66666"/>
        <w:sz w:val="18"/>
        <w:szCs w:val="18"/>
      </w:rPr>
      <w:t xml:space="preserve">FARMA CENTER — CONCLUSIONES Y BIBLIOGRAFÍA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2026-06-22T19:24:12.151Z</dcterms:created>
  <dcterms:modified xsi:type="dcterms:W3CDTF">2026-06-22T19:24:12.153Z</dcterms:modified>
</cp:coreProperties>
</file>

<file path=docProps/custom.xml><?xml version="1.0" encoding="utf-8"?>
<Properties xmlns="http://schemas.openxmlformats.org/officeDocument/2006/custom-properties" xmlns:vt="http://schemas.openxmlformats.org/officeDocument/2006/docPropsVTypes"/>
</file>