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155A9" w14:textId="098A8B1D" w:rsidR="008B668F" w:rsidRDefault="0036766E">
      <w:r>
        <w:t>Productivity and sustainability of soybean deficit irrigation in the US</w:t>
      </w:r>
    </w:p>
    <w:sectPr w:rsidR="008B6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C9F"/>
    <w:rsid w:val="0036766E"/>
    <w:rsid w:val="004C7A8A"/>
    <w:rsid w:val="007F4C9F"/>
    <w:rsid w:val="008B668F"/>
    <w:rsid w:val="009C7E74"/>
    <w:rsid w:val="00D2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AB78E"/>
  <w15:chartTrackingRefBased/>
  <w15:docId w15:val="{92F6CAC0-D610-4043-8F27-AC8292928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F. Elli</dc:creator>
  <cp:keywords/>
  <dc:description/>
  <cp:lastModifiedBy>Elvis F. Elli</cp:lastModifiedBy>
  <cp:revision>2</cp:revision>
  <dcterms:created xsi:type="dcterms:W3CDTF">2026-08-24T15:30:00Z</dcterms:created>
  <dcterms:modified xsi:type="dcterms:W3CDTF">2026-08-24T15:30:00Z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dd53fd2c-664b-4455-92bb-86d3410cb187</vt:lpwstr>
  </property>
</Properties>
</file>