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0"/>
        <w:jc w:val="center"/>
      </w:pPr>
      <w:r>
        <w:rPr>
          <w:rFonts w:ascii="Calibri" w:cs="Calibri" w:eastAsia="Calibri" w:hAnsi="Calibri"/>
          <w:b/>
          <w:bCs/>
          <w:color w:val="0F4C81"/>
          <w:sz w:val="56"/>
          <w:szCs w:val="56"/>
        </w:rPr>
        <w:t xml:space="preserve">Estimation du prix immobilier au m²</w:t>
      </w:r>
    </w:p>
    <w:p>
      <w:pPr>
        <w:spacing w:after="160"/>
        <w:jc w:val="center"/>
      </w:pPr>
      <w:r>
        <w:rPr>
          <w:rFonts w:ascii="Calibri" w:cs="Calibri" w:eastAsia="Calibri" w:hAnsi="Calibri"/>
          <w:color w:val="1F2937"/>
          <w:sz w:val="32"/>
          <w:szCs w:val="32"/>
        </w:rPr>
        <w:t xml:space="preserve">Casablanca - Modélisation prédictive par Machine Learning</w:t>
      </w:r>
    </w:p>
    <w:p>
      <w:pPr>
        <w:spacing w:after="800"/>
        <w:jc w:val="center"/>
      </w:pPr>
      <w:r>
        <w:rPr>
          <w:rFonts w:ascii="Calibri" w:cs="Calibri" w:eastAsia="Calibri" w:hAnsi="Calibri"/>
          <w:i/>
          <w:iCs/>
          <w:color w:val="4B5563"/>
          <w:sz w:val="26"/>
          <w:szCs w:val="26"/>
        </w:rPr>
        <w:t xml:space="preserve">Rapport méthodologique et résultats</w:t>
      </w:r>
    </w:p>
    <w:p>
      <w:pPr>
        <w:spacing w:before="2400"/>
        <w:jc w:val="center"/>
      </w:pPr>
      <w:r>
        <w:rPr>
          <w:rFonts w:ascii="Calibri" w:cs="Calibri" w:eastAsia="Calibri" w:hAnsi="Calibri"/>
          <w:color w:val="374151"/>
          <w:sz w:val="24"/>
          <w:szCs w:val="24"/>
        </w:rPr>
        <w:t xml:space="preserve">Mai 2026</w:t>
      </w:r>
    </w:p>
    <w:p>
      <w:r>
        <w:br w:type="page"/>
      </w:r>
    </w:p>
    <w:p>
      <w:pPr>
        <w:pStyle w:val="Heading1"/>
        <w:spacing w:after="160" w:before="320"/>
      </w:pPr>
      <w:r>
        <w:rPr>
          <w:rFonts w:ascii="Calibri" w:cs="Calibri" w:eastAsia="Calibri" w:hAnsi="Calibri"/>
          <w:b/>
          <w:bCs/>
          <w:color w:val="0F4C81"/>
          <w:sz w:val="32"/>
          <w:szCs w:val="32"/>
        </w:rPr>
        <w:t xml:space="preserve">1. Contexte et objectif</w:t>
      </w:r>
    </w:p>
    <w:p>
      <w:pPr>
        <w:spacing w:after="120"/>
        <w:jc w:val="both"/>
      </w:pPr>
      <w:r>
        <w:rPr>
          <w:rFonts w:ascii="Calibri" w:cs="Calibri" w:eastAsia="Calibri" w:hAnsi="Calibri"/>
          <w:sz w:val="22"/>
          <w:szCs w:val="22"/>
        </w:rPr>
        <w:t xml:space="preserve">Ce rapport présente la démarche complète de construction d'un modèle de Machine Learning destiné à estimer le prix du terrain au mètre carré (DH/m²) des biens immobiliers situés à Casablanca. L'objectif est double : disposer d'un outil de valorisation chiffré et reproductible pour soutenir les décisions d'investissement, et identifier les facteurs (caractéristiques du bien, environnement géomarketing, profil socio-démographique de la zone) qui pèsent réellement sur la valeur foncière.</w:t>
      </w:r>
    </w:p>
    <w:p>
      <w:pPr>
        <w:spacing w:after="120"/>
        <w:jc w:val="both"/>
      </w:pPr>
      <w:r>
        <w:rPr>
          <w:rFonts w:ascii="Calibri" w:cs="Calibri" w:eastAsia="Calibri" w:hAnsi="Calibri"/>
          <w:sz w:val="22"/>
          <w:szCs w:val="22"/>
        </w:rPr>
        <w:t xml:space="preserve">La modélisation s'appuie sur un jeu de données enrichi par croisement de plusieurs sources : transactions immobilières, points d'intérêt (POI) géolocalisés (écoles, commerces, banques, santé, transport, parcs, nuisances), réseau routier, et indicateurs socio-démographiques par zone (densité de population, taux d'activité, taux de chômage, niveau d'études, taille de ménage).</w:t>
      </w:r>
    </w:p>
    <w:p>
      <w:pPr>
        <w:pStyle w:val="Heading2"/>
        <w:spacing w:after="120" w:before="240"/>
      </w:pPr>
      <w:r>
        <w:rPr>
          <w:rFonts w:ascii="Calibri" w:cs="Calibri" w:eastAsia="Calibri" w:hAnsi="Calibri"/>
          <w:b/>
          <w:bCs/>
          <w:color w:val="0F4C81"/>
          <w:sz w:val="26"/>
          <w:szCs w:val="26"/>
        </w:rPr>
        <w:t xml:space="preserve">Périmètre</w:t>
      </w:r>
    </w:p>
    <w:p>
      <w:pPr>
        <w:pStyle w:val="ListParagraph"/>
        <w:numPr>
          <w:ilvl w:val="0"/>
          <w:numId w:val="2"/>
        </w:numPr>
        <w:spacing w:after="80"/>
      </w:pPr>
      <w:r>
        <w:rPr>
          <w:rFonts w:ascii="Calibri" w:cs="Calibri" w:eastAsia="Calibri" w:hAnsi="Calibri"/>
          <w:sz w:val="22"/>
          <w:szCs w:val="22"/>
        </w:rPr>
        <w:t xml:space="preserve">Zone d'étude : Préfecture du Grand Casablanca.</w:t>
      </w:r>
    </w:p>
    <w:p>
      <w:pPr>
        <w:pStyle w:val="ListParagraph"/>
        <w:numPr>
          <w:ilvl w:val="0"/>
          <w:numId w:val="2"/>
        </w:numPr>
        <w:spacing w:after="80"/>
      </w:pPr>
      <w:r>
        <w:rPr>
          <w:rFonts w:ascii="Calibri" w:cs="Calibri" w:eastAsia="Calibri" w:hAnsi="Calibri"/>
          <w:sz w:val="22"/>
          <w:szCs w:val="22"/>
        </w:rPr>
        <w:t xml:space="preserve">Variable cible : prix terrain au m² (DH).</w:t>
      </w:r>
    </w:p>
    <w:p>
      <w:pPr>
        <w:pStyle w:val="ListParagraph"/>
        <w:numPr>
          <w:ilvl w:val="0"/>
          <w:numId w:val="2"/>
        </w:numPr>
        <w:spacing w:after="80"/>
      </w:pPr>
      <w:r>
        <w:rPr>
          <w:rFonts w:ascii="Calibri" w:cs="Calibri" w:eastAsia="Calibri" w:hAnsi="Calibri"/>
          <w:sz w:val="22"/>
          <w:szCs w:val="22"/>
        </w:rPr>
        <w:t xml:space="preserve">Approche : régression supervisée, comparaison de plusieurs algorithmes.</w:t>
      </w:r>
    </w:p>
    <w:p>
      <w:pPr>
        <w:pStyle w:val="ListParagraph"/>
        <w:numPr>
          <w:ilvl w:val="0"/>
          <w:numId w:val="2"/>
        </w:numPr>
        <w:spacing w:after="80"/>
      </w:pPr>
      <w:r>
        <w:rPr>
          <w:rFonts w:ascii="Calibri" w:cs="Calibri" w:eastAsia="Calibri" w:hAnsi="Calibri"/>
          <w:sz w:val="22"/>
          <w:szCs w:val="22"/>
        </w:rPr>
        <w:t xml:space="preserve">Livrables : modèle sérialisé, fonction de prédiction réutilisable, interprétabilité (SHAP).</w:t>
      </w:r>
    </w:p>
    <w:p>
      <w:pPr>
        <w:pStyle w:val="Heading1"/>
        <w:spacing w:after="160" w:before="320"/>
      </w:pPr>
      <w:r>
        <w:rPr>
          <w:rFonts w:ascii="Calibri" w:cs="Calibri" w:eastAsia="Calibri" w:hAnsi="Calibri"/>
          <w:b/>
          <w:bCs/>
          <w:color w:val="0F4C81"/>
          <w:sz w:val="32"/>
          <w:szCs w:val="32"/>
        </w:rPr>
        <w:t xml:space="preserve">2. Description du jeu de données</w:t>
      </w:r>
    </w:p>
    <w:p>
      <w:pPr>
        <w:spacing w:after="120"/>
        <w:jc w:val="both"/>
      </w:pPr>
      <w:r>
        <w:rPr>
          <w:rFonts w:ascii="Calibri" w:cs="Calibri" w:eastAsia="Calibri" w:hAnsi="Calibri"/>
          <w:sz w:val="22"/>
          <w:szCs w:val="22"/>
        </w:rPr>
        <w:t xml:space="preserve">Le dataset final compte 1 477 observations pour 49 variables. Après séparation, le jeu se compose de 42 variables numériques et 5 variables catégoriques retenues (les identifiants purement administratifs, comme la Préfecture et la Zone déchiffrée, sont exclus pour éviter le data leakage et la haute cardinalité).</w:t>
      </w:r>
    </w:p>
    <w:p>
      <w:pPr>
        <w:pStyle w:val="Heading2"/>
        <w:spacing w:after="120" w:before="240"/>
      </w:pPr>
      <w:r>
        <w:rPr>
          <w:rFonts w:ascii="Calibri" w:cs="Calibri" w:eastAsia="Calibri" w:hAnsi="Calibri"/>
          <w:b/>
          <w:bCs/>
          <w:color w:val="0F4C81"/>
          <w:sz w:val="26"/>
          <w:szCs w:val="26"/>
        </w:rPr>
        <w:t xml:space="preserve">Familles de variables</w:t>
      </w:r>
    </w:p>
    <w:p>
      <w:pPr>
        <w:pStyle w:val="ListParagraph"/>
        <w:numPr>
          <w:ilvl w:val="0"/>
          <w:numId w:val="2"/>
        </w:numPr>
        <w:spacing w:after="80"/>
      </w:pPr>
      <w:r>
        <w:rPr>
          <w:rFonts w:ascii="Calibri" w:cs="Calibri" w:eastAsia="Calibri" w:hAnsi="Calibri"/>
          <w:b/>
          <w:bCs/>
          <w:sz w:val="22"/>
          <w:szCs w:val="22"/>
        </w:rPr>
        <w:t xml:space="preserve">Caractéristiques du bien : </w:t>
      </w:r>
      <w:r>
        <w:rPr>
          <w:rFonts w:ascii="Calibri" w:cs="Calibri" w:eastAsia="Calibri" w:hAnsi="Calibri"/>
          <w:sz w:val="22"/>
          <w:szCs w:val="22"/>
        </w:rPr>
        <w:t xml:space="preserve">type de bien, état (récent / ancien), condition / zonage.</w:t>
      </w:r>
    </w:p>
    <w:p>
      <w:pPr>
        <w:pStyle w:val="ListParagraph"/>
        <w:numPr>
          <w:ilvl w:val="0"/>
          <w:numId w:val="2"/>
        </w:numPr>
        <w:spacing w:after="80"/>
      </w:pPr>
      <w:r>
        <w:rPr>
          <w:rFonts w:ascii="Calibri" w:cs="Calibri" w:eastAsia="Calibri" w:hAnsi="Calibri"/>
          <w:b/>
          <w:bCs/>
          <w:sz w:val="22"/>
          <w:szCs w:val="22"/>
        </w:rPr>
        <w:t xml:space="preserve">Variables géomarketing (POI) : </w:t>
      </w:r>
      <w:r>
        <w:rPr>
          <w:rFonts w:ascii="Calibri" w:cs="Calibri" w:eastAsia="Calibri" w:hAnsi="Calibri"/>
          <w:sz w:val="22"/>
          <w:szCs w:val="22"/>
        </w:rPr>
        <w:t xml:space="preserve">distances minimales et densités à 500 m / 1 km pour les écoles, banques, santé, commerces, restaurants, transports, axes routiers, mer, parcs et nuisances.</w:t>
      </w:r>
    </w:p>
    <w:p>
      <w:pPr>
        <w:pStyle w:val="ListParagraph"/>
        <w:numPr>
          <w:ilvl w:val="0"/>
          <w:numId w:val="2"/>
        </w:numPr>
        <w:spacing w:after="80"/>
      </w:pPr>
      <w:r>
        <w:rPr>
          <w:rFonts w:ascii="Calibri" w:cs="Calibri" w:eastAsia="Calibri" w:hAnsi="Calibri"/>
          <w:b/>
          <w:bCs/>
          <w:sz w:val="22"/>
          <w:szCs w:val="22"/>
        </w:rPr>
        <w:t xml:space="preserve">Accessibilité : </w:t>
      </w:r>
      <w:r>
        <w:rPr>
          <w:rFonts w:ascii="Calibri" w:cs="Calibri" w:eastAsia="Calibri" w:hAnsi="Calibri"/>
          <w:sz w:val="22"/>
          <w:szCs w:val="22"/>
        </w:rPr>
        <w:t xml:space="preserve">temps de trajet vers le centre, Casablanca Finance City, Maarif, Sidi Maarouf, le port, distance au tram.</w:t>
      </w:r>
    </w:p>
    <w:p>
      <w:pPr>
        <w:pStyle w:val="ListParagraph"/>
        <w:numPr>
          <w:ilvl w:val="0"/>
          <w:numId w:val="2"/>
        </w:numPr>
        <w:spacing w:after="80"/>
      </w:pPr>
      <w:r>
        <w:rPr>
          <w:rFonts w:ascii="Calibri" w:cs="Calibri" w:eastAsia="Calibri" w:hAnsi="Calibri"/>
          <w:b/>
          <w:bCs/>
          <w:sz w:val="22"/>
          <w:szCs w:val="22"/>
        </w:rPr>
        <w:t xml:space="preserve">Profil socio-démographique de la zone : </w:t>
      </w:r>
      <w:r>
        <w:rPr>
          <w:rFonts w:ascii="Calibri" w:cs="Calibri" w:eastAsia="Calibri" w:hAnsi="Calibri"/>
          <w:sz w:val="22"/>
          <w:szCs w:val="22"/>
        </w:rPr>
        <w:t xml:space="preserve">densité de population, part des 15-59 ans, taille de ménage, taux d'activité, taux de chômage, taux d'analphabétisme, part de la population avec études supérieures, taux de croissance.</w:t>
      </w:r>
    </w:p>
    <w:p>
      <w:pPr>
        <w:pStyle w:val="Heading1"/>
        <w:spacing w:after="160" w:before="320"/>
      </w:pPr>
      <w:r>
        <w:rPr>
          <w:rFonts w:ascii="Calibri" w:cs="Calibri" w:eastAsia="Calibri" w:hAnsi="Calibri"/>
          <w:b/>
          <w:bCs/>
          <w:color w:val="0F4C81"/>
          <w:sz w:val="32"/>
          <w:szCs w:val="32"/>
        </w:rPr>
        <w:t xml:space="preserve">3. Exploration de la variable cible</w:t>
      </w:r>
    </w:p>
    <w:p>
      <w:pPr>
        <w:spacing w:after="120"/>
        <w:jc w:val="both"/>
      </w:pPr>
      <w:r>
        <w:rPr>
          <w:rFonts w:ascii="Calibri" w:cs="Calibri" w:eastAsia="Calibri" w:hAnsi="Calibri"/>
          <w:sz w:val="22"/>
          <w:szCs w:val="22"/>
        </w:rPr>
        <w:t xml:space="preserve">La variable à prédire, le prix terrain au m² (DH), présente une moyenne de 13 737 DH/m² et une médiane de 12 000 DH/m², avec un écart-type de 6 998 DH/m². Le 1er quartile se situe à 10 000 DH/m² et le 3e quartile à 15 000 DH/m². Le minimum (1 DH/m²) et le maximum (65 000 DH/m²) traduisent la forte hétérogénéité du marché casablancais.</w:t>
      </w:r>
    </w:p>
    <w:p>
      <w:pPr>
        <w:spacing w:after="120"/>
        <w:jc w:val="both"/>
      </w:pPr>
      <w:r>
        <w:rPr>
          <w:rFonts w:ascii="Calibri" w:cs="Calibri" w:eastAsia="Calibri" w:hAnsi="Calibri"/>
          <w:sz w:val="22"/>
          <w:szCs w:val="22"/>
        </w:rPr>
        <w:t xml:space="preserve">La distribution est asymétrique à droite (skewness = 2.43) et leptokurtique (kurtosis = 8.30), c'est-à-dire qu'elle présente une queue de valeurs extrêmes (biens d'exception) plus longue qu'une loi normale. Cette asymétrie est confirmée visuellement par l'histogramme et le boxplot ci-dessous, qui montrent plusieurs valeurs aberrantes au-delà de 30 000 DH/m². Ces caractéristiques justifient l'usage d'algorithmes non paramétriques (arbres et boosting) plutôt que d'une régression linéaire stricte.</w:t>
      </w:r>
    </w:p>
    <w:p>
      <w:pPr>
        <w:spacing w:after="60" w:before="160"/>
        <w:jc w:val="center"/>
      </w:pPr>
      <w:r>
        <w:drawing>
          <wp:inline distT="0" distB="0" distL="0" distR="0">
            <wp:extent cx="5334000" cy="2095500"/>
            <wp:effectExtent t="0" r="0" b="0" l="0"/>
            <wp:docPr id="1" name="01_distribution_cible.png" descr="Figure 1. Distribution et boxplot du prix au m² (DH)." title="Figure 1. Distribution et boxplot du prix au m² (D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095500"/>
                    </a:xfrm>
                    <a:prstGeom prst="rect">
                      <a:avLst/>
                    </a:prstGeom>
                  </pic:spPr>
                </pic:pic>
              </a:graphicData>
            </a:graphic>
          </wp:inline>
        </w:drawing>
      </w:r>
    </w:p>
    <w:p>
      <w:pPr>
        <w:spacing w:after="200"/>
        <w:jc w:val="center"/>
      </w:pPr>
      <w:r>
        <w:rPr>
          <w:rFonts w:ascii="Calibri" w:cs="Calibri" w:eastAsia="Calibri" w:hAnsi="Calibri"/>
          <w:i/>
          <w:iCs/>
          <w:color w:val="374151"/>
          <w:sz w:val="20"/>
          <w:szCs w:val="20"/>
        </w:rPr>
        <w:t xml:space="preserve">Figure 1. Distribution et boxplot du prix au m² (DH).</w:t>
      </w:r>
    </w:p>
    <w:p>
      <w:pPr>
        <w:pStyle w:val="Heading1"/>
        <w:spacing w:after="160" w:before="320"/>
      </w:pPr>
      <w:r>
        <w:rPr>
          <w:rFonts w:ascii="Calibri" w:cs="Calibri" w:eastAsia="Calibri" w:hAnsi="Calibri"/>
          <w:b/>
          <w:bCs/>
          <w:color w:val="0F4C81"/>
          <w:sz w:val="32"/>
          <w:szCs w:val="32"/>
        </w:rPr>
        <w:t xml:space="preserve">4. Préparation et nettoyage</w:t>
      </w:r>
    </w:p>
    <w:p>
      <w:pPr>
        <w:spacing w:after="120"/>
        <w:jc w:val="both"/>
      </w:pPr>
      <w:r>
        <w:rPr>
          <w:rFonts w:ascii="Calibri" w:cs="Calibri" w:eastAsia="Calibri" w:hAnsi="Calibri"/>
          <w:sz w:val="22"/>
          <w:szCs w:val="22"/>
        </w:rPr>
        <w:t xml:space="preserve">La phase de préparation suit un pipeline standard et réutilisable, conçu pour pouvoir être appliqué à de nouvelles transactions sans modification :</w:t>
      </w:r>
    </w:p>
    <w:p>
      <w:pPr>
        <w:pStyle w:val="ListParagraph"/>
        <w:numPr>
          <w:ilvl w:val="0"/>
          <w:numId w:val="2"/>
        </w:numPr>
        <w:spacing w:after="80"/>
      </w:pPr>
      <w:r>
        <w:rPr>
          <w:rFonts w:ascii="Calibri" w:cs="Calibri" w:eastAsia="Calibri" w:hAnsi="Calibri"/>
          <w:b/>
          <w:bCs/>
          <w:sz w:val="22"/>
          <w:szCs w:val="22"/>
        </w:rPr>
        <w:t xml:space="preserve">Suppression des cibles manquantes : </w:t>
      </w:r>
      <w:r>
        <w:rPr>
          <w:rFonts w:ascii="Calibri" w:cs="Calibri" w:eastAsia="Calibri" w:hAnsi="Calibri"/>
          <w:sz w:val="22"/>
          <w:szCs w:val="22"/>
        </w:rPr>
        <w:t xml:space="preserve">passage de 1 477 à 1 477 lignes utilisables.</w:t>
      </w:r>
    </w:p>
    <w:p>
      <w:pPr>
        <w:pStyle w:val="ListParagraph"/>
        <w:numPr>
          <w:ilvl w:val="0"/>
          <w:numId w:val="2"/>
        </w:numPr>
        <w:spacing w:after="80"/>
      </w:pPr>
      <w:r>
        <w:rPr>
          <w:rFonts w:ascii="Calibri" w:cs="Calibri" w:eastAsia="Calibri" w:hAnsi="Calibri"/>
          <w:b/>
          <w:bCs/>
          <w:sz w:val="22"/>
          <w:szCs w:val="22"/>
        </w:rPr>
        <w:t xml:space="preserve">Imputation des manquants numériques par la médiane </w:t>
      </w:r>
      <w:r>
        <w:rPr>
          <w:rFonts w:ascii="Calibri" w:cs="Calibri" w:eastAsia="Calibri" w:hAnsi="Calibri"/>
          <w:sz w:val="22"/>
          <w:szCs w:val="22"/>
        </w:rPr>
        <w:t xml:space="preserve">(robuste aux valeurs extrêmes contrairement à la moyenne).</w:t>
      </w:r>
    </w:p>
    <w:p>
      <w:pPr>
        <w:pStyle w:val="ListParagraph"/>
        <w:numPr>
          <w:ilvl w:val="0"/>
          <w:numId w:val="2"/>
        </w:numPr>
        <w:spacing w:after="80"/>
      </w:pPr>
      <w:r>
        <w:rPr>
          <w:rFonts w:ascii="Calibri" w:cs="Calibri" w:eastAsia="Calibri" w:hAnsi="Calibri"/>
          <w:b/>
          <w:bCs/>
          <w:sz w:val="22"/>
          <w:szCs w:val="22"/>
        </w:rPr>
        <w:t xml:space="preserve">Imputation des manquants catégoriques par le mode </w:t>
      </w:r>
      <w:r>
        <w:rPr>
          <w:rFonts w:ascii="Calibri" w:cs="Calibri" w:eastAsia="Calibri" w:hAnsi="Calibri"/>
          <w:sz w:val="22"/>
          <w:szCs w:val="22"/>
        </w:rPr>
        <w:t xml:space="preserve">(la modalité la plus fréquente).</w:t>
      </w:r>
    </w:p>
    <w:p>
      <w:pPr>
        <w:pStyle w:val="ListParagraph"/>
        <w:numPr>
          <w:ilvl w:val="0"/>
          <w:numId w:val="2"/>
        </w:numPr>
        <w:spacing w:after="80"/>
      </w:pPr>
      <w:r>
        <w:rPr>
          <w:rFonts w:ascii="Calibri" w:cs="Calibri" w:eastAsia="Calibri" w:hAnsi="Calibri"/>
          <w:b/>
          <w:bCs/>
          <w:sz w:val="22"/>
          <w:szCs w:val="22"/>
        </w:rPr>
        <w:t xml:space="preserve">Encodage des variables catégoriques avec LabelEncoder </w:t>
      </w:r>
      <w:r>
        <w:rPr>
          <w:rFonts w:ascii="Calibri" w:cs="Calibri" w:eastAsia="Calibri" w:hAnsi="Calibri"/>
          <w:sz w:val="22"/>
          <w:szCs w:val="22"/>
        </w:rPr>
        <w:t xml:space="preserve">afin de fournir des entrées numériques aux algorithmes basés sur les arbres.</w:t>
      </w:r>
    </w:p>
    <w:p>
      <w:pPr>
        <w:pStyle w:val="ListParagraph"/>
        <w:numPr>
          <w:ilvl w:val="0"/>
          <w:numId w:val="2"/>
        </w:numPr>
        <w:spacing w:after="80"/>
      </w:pPr>
      <w:r>
        <w:rPr>
          <w:rFonts w:ascii="Calibri" w:cs="Calibri" w:eastAsia="Calibri" w:hAnsi="Calibri"/>
          <w:b/>
          <w:bCs/>
          <w:sz w:val="22"/>
          <w:szCs w:val="22"/>
        </w:rPr>
        <w:t xml:space="preserve">Exclusion des colonnes administratives </w:t>
      </w:r>
      <w:r>
        <w:rPr>
          <w:rFonts w:ascii="Calibri" w:cs="Calibri" w:eastAsia="Calibri" w:hAnsi="Calibri"/>
          <w:sz w:val="22"/>
          <w:szCs w:val="22"/>
        </w:rPr>
        <w:t xml:space="preserve">(Préfecture, Code Zone, Zone déchiffrée, Arrondissement) qui dupliqueraient l'information géographique déjà portée par les distances aux POI.</w:t>
      </w:r>
    </w:p>
    <w:p>
      <w:pPr>
        <w:spacing w:after="120"/>
        <w:jc w:val="both"/>
      </w:pPr>
      <w:r>
        <w:rPr>
          <w:rFonts w:ascii="Calibri" w:cs="Calibri" w:eastAsia="Calibri" w:hAnsi="Calibri"/>
          <w:sz w:val="22"/>
          <w:szCs w:val="22"/>
        </w:rPr>
        <w:t xml:space="preserve">Après préparation, la matrice de modélisation comporte 44 variables explicatives appliquées à 1 477 observations.</w:t>
      </w:r>
    </w:p>
    <w:p>
      <w:pPr>
        <w:pStyle w:val="Heading1"/>
        <w:spacing w:after="160" w:before="320"/>
      </w:pPr>
      <w:r>
        <w:rPr>
          <w:rFonts w:ascii="Calibri" w:cs="Calibri" w:eastAsia="Calibri" w:hAnsi="Calibri"/>
          <w:b/>
          <w:bCs/>
          <w:color w:val="0F4C81"/>
          <w:sz w:val="32"/>
          <w:szCs w:val="32"/>
        </w:rPr>
        <w:t xml:space="preserve">5. Analyse des corrélations</w:t>
      </w:r>
    </w:p>
    <w:p>
      <w:pPr>
        <w:spacing w:after="120"/>
        <w:jc w:val="both"/>
      </w:pPr>
      <w:r>
        <w:rPr>
          <w:rFonts w:ascii="Calibri" w:cs="Calibri" w:eastAsia="Calibri" w:hAnsi="Calibri"/>
          <w:sz w:val="22"/>
          <w:szCs w:val="22"/>
        </w:rPr>
        <w:t xml:space="preserve">Une analyse des corrélations linéaires de Pearson est conduite entre chaque variable explicative et la cible afin d'identifier rapidement les variables les plus prédictives et les éventuelles redondances (multicolinéarité) entre features.</w:t>
      </w:r>
    </w:p>
    <w:p>
      <w:pPr>
        <w:spacing w:after="120"/>
        <w:jc w:val="both"/>
      </w:pPr>
      <w:r>
        <w:rPr>
          <w:rFonts w:ascii="Calibri" w:cs="Calibri" w:eastAsia="Calibri" w:hAnsi="Calibri"/>
          <w:sz w:val="22"/>
          <w:szCs w:val="22"/>
        </w:rPr>
        <w:t xml:space="preserve">Les variables les plus corrélées au prix au m² sont les indicateurs d'animation urbaine et de capital humain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D1D5DB" w:sz="4"/>
              <w:left w:val="single" w:color="D1D5DB" w:sz="4"/>
              <w:bottom w:val="single" w:color="D1D5DB" w:sz="4"/>
              <w:right w:val="single" w:color="D1D5DB" w:sz="4"/>
            </w:tcBorders>
            <w:shd w:fill="0F4C81"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Variable</w:t>
            </w:r>
          </w:p>
        </w:tc>
        <w:tc>
          <w:tcPr>
            <w:tcW w:type="dxa" w:w="3360"/>
            <w:tcBorders>
              <w:top w:val="single" w:color="D1D5DB" w:sz="4"/>
              <w:left w:val="single" w:color="D1D5DB" w:sz="4"/>
              <w:bottom w:val="single" w:color="D1D5DB" w:sz="4"/>
              <w:right w:val="single" w:color="D1D5DB" w:sz="4"/>
            </w:tcBorders>
            <w:shd w:fill="0F4C81" w:val="clear"/>
            <w:tcMar>
              <w:top w:type="dxa" w:w="100"/>
              <w:left w:type="dxa" w:w="140"/>
              <w:bottom w:type="dxa" w:w="100"/>
              <w:right w:type="dxa" w:w="140"/>
            </w:tcMar>
          </w:tcPr>
          <w:p>
            <w:pPr>
              <w:jc w:val="center"/>
            </w:pPr>
            <w:r>
              <w:rPr>
                <w:rFonts w:ascii="Calibri" w:cs="Calibri" w:eastAsia="Calibri" w:hAnsi="Calibri"/>
                <w:b/>
                <w:bCs/>
                <w:color w:val="FFFFFF"/>
                <w:sz w:val="21"/>
                <w:szCs w:val="21"/>
              </w:rPr>
              <w:t xml:space="preserve">Corrélation avec le prix au m²</w:t>
            </w:r>
          </w:p>
        </w:tc>
      </w:tr>
      <w:tr>
        <w:trPr>
          <w:tblHeader w:val="false"/>
        </w:trPr>
        <w:tc>
          <w:tcPr>
            <w:tcW w:type="dxa" w:w="60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rFonts w:ascii="Calibri" w:cs="Calibri" w:eastAsia="Calibri" w:hAnsi="Calibri"/>
                <w:b w:val="false"/>
                <w:bCs w:val="false"/>
                <w:color w:val="111827"/>
                <w:sz w:val="21"/>
                <w:szCs w:val="21"/>
              </w:rPr>
              <w:t xml:space="preserve">nb_commerces_1km</w:t>
            </w:r>
          </w:p>
        </w:tc>
        <w:tc>
          <w:tcPr>
            <w:tcW w:type="dxa" w:w="33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center"/>
            </w:pPr>
            <w:r>
              <w:rPr>
                <w:rFonts w:ascii="Calibri" w:cs="Calibri" w:eastAsia="Calibri" w:hAnsi="Calibri"/>
                <w:b/>
                <w:bCs/>
                <w:color w:val="0F4C81"/>
                <w:sz w:val="21"/>
                <w:szCs w:val="21"/>
              </w:rPr>
              <w:t xml:space="preserve">0.407</w:t>
            </w:r>
          </w:p>
        </w:tc>
      </w:tr>
      <w:tr>
        <w:trPr>
          <w:tblHeader w:val="false"/>
        </w:trPr>
        <w:tc>
          <w:tcPr>
            <w:tcW w:type="dxa" w:w="60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rFonts w:ascii="Calibri" w:cs="Calibri" w:eastAsia="Calibri" w:hAnsi="Calibri"/>
                <w:b w:val="false"/>
                <w:bCs w:val="false"/>
                <w:color w:val="111827"/>
                <w:sz w:val="21"/>
                <w:szCs w:val="21"/>
              </w:rPr>
              <w:t xml:space="preserve">Part_population_niveau_études_supérieur</w:t>
            </w:r>
          </w:p>
        </w:tc>
        <w:tc>
          <w:tcPr>
            <w:tcW w:type="dxa" w:w="33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center"/>
            </w:pPr>
            <w:r>
              <w:rPr>
                <w:rFonts w:ascii="Calibri" w:cs="Calibri" w:eastAsia="Calibri" w:hAnsi="Calibri"/>
                <w:b/>
                <w:bCs/>
                <w:color w:val="0F4C81"/>
                <w:sz w:val="21"/>
                <w:szCs w:val="21"/>
              </w:rPr>
              <w:t xml:space="preserve">0.358</w:t>
            </w:r>
          </w:p>
        </w:tc>
      </w:tr>
      <w:tr>
        <w:trPr>
          <w:tblHeader w:val="false"/>
        </w:trPr>
        <w:tc>
          <w:tcPr>
            <w:tcW w:type="dxa" w:w="60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rFonts w:ascii="Calibri" w:cs="Calibri" w:eastAsia="Calibri" w:hAnsi="Calibri"/>
                <w:b w:val="false"/>
                <w:bCs w:val="false"/>
                <w:color w:val="111827"/>
                <w:sz w:val="21"/>
                <w:szCs w:val="21"/>
              </w:rPr>
              <w:t xml:space="preserve">nb_banques_1km</w:t>
            </w:r>
          </w:p>
        </w:tc>
        <w:tc>
          <w:tcPr>
            <w:tcW w:type="dxa" w:w="33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center"/>
            </w:pPr>
            <w:r>
              <w:rPr>
                <w:rFonts w:ascii="Calibri" w:cs="Calibri" w:eastAsia="Calibri" w:hAnsi="Calibri"/>
                <w:b/>
                <w:bCs/>
                <w:color w:val="0F4C81"/>
                <w:sz w:val="21"/>
                <w:szCs w:val="21"/>
              </w:rPr>
              <w:t xml:space="preserve">0.353</w:t>
            </w:r>
          </w:p>
        </w:tc>
      </w:tr>
      <w:tr>
        <w:trPr>
          <w:tblHeader w:val="false"/>
        </w:trPr>
        <w:tc>
          <w:tcPr>
            <w:tcW w:type="dxa" w:w="60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rFonts w:ascii="Calibri" w:cs="Calibri" w:eastAsia="Calibri" w:hAnsi="Calibri"/>
                <w:b w:val="false"/>
                <w:bCs w:val="false"/>
                <w:color w:val="111827"/>
                <w:sz w:val="21"/>
                <w:szCs w:val="21"/>
              </w:rPr>
              <w:t xml:space="preserve">nb_sante_1km</w:t>
            </w:r>
          </w:p>
        </w:tc>
        <w:tc>
          <w:tcPr>
            <w:tcW w:type="dxa" w:w="33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center"/>
            </w:pPr>
            <w:r>
              <w:rPr>
                <w:rFonts w:ascii="Calibri" w:cs="Calibri" w:eastAsia="Calibri" w:hAnsi="Calibri"/>
                <w:b/>
                <w:bCs/>
                <w:color w:val="0F4C81"/>
                <w:sz w:val="21"/>
                <w:szCs w:val="21"/>
              </w:rPr>
              <w:t xml:space="preserve">0.347</w:t>
            </w:r>
          </w:p>
        </w:tc>
      </w:tr>
      <w:tr>
        <w:trPr>
          <w:tblHeader w:val="false"/>
        </w:trPr>
        <w:tc>
          <w:tcPr>
            <w:tcW w:type="dxa" w:w="60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rFonts w:ascii="Calibri" w:cs="Calibri" w:eastAsia="Calibri" w:hAnsi="Calibri"/>
                <w:b w:val="false"/>
                <w:bCs w:val="false"/>
                <w:color w:val="111827"/>
                <w:sz w:val="21"/>
                <w:szCs w:val="21"/>
              </w:rPr>
              <w:t xml:space="preserve">nb_restaurants_500m</w:t>
            </w:r>
          </w:p>
        </w:tc>
        <w:tc>
          <w:tcPr>
            <w:tcW w:type="dxa" w:w="33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center"/>
            </w:pPr>
            <w:r>
              <w:rPr>
                <w:rFonts w:ascii="Calibri" w:cs="Calibri" w:eastAsia="Calibri" w:hAnsi="Calibri"/>
                <w:b/>
                <w:bCs/>
                <w:color w:val="0F4C81"/>
                <w:sz w:val="21"/>
                <w:szCs w:val="21"/>
              </w:rPr>
              <w:t xml:space="preserve">0.340</w:t>
            </w:r>
          </w:p>
        </w:tc>
      </w:tr>
      <w:tr>
        <w:trPr>
          <w:tblHeader w:val="false"/>
        </w:trPr>
        <w:tc>
          <w:tcPr>
            <w:tcW w:type="dxa" w:w="60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rFonts w:ascii="Calibri" w:cs="Calibri" w:eastAsia="Calibri" w:hAnsi="Calibri"/>
                <w:b w:val="false"/>
                <w:bCs w:val="false"/>
                <w:color w:val="111827"/>
                <w:sz w:val="21"/>
                <w:szCs w:val="21"/>
              </w:rPr>
              <w:t xml:space="preserve">nb_axes_500m</w:t>
            </w:r>
          </w:p>
        </w:tc>
        <w:tc>
          <w:tcPr>
            <w:tcW w:type="dxa" w:w="33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center"/>
            </w:pPr>
            <w:r>
              <w:rPr>
                <w:rFonts w:ascii="Calibri" w:cs="Calibri" w:eastAsia="Calibri" w:hAnsi="Calibri"/>
                <w:b/>
                <w:bCs/>
                <w:color w:val="0F4C81"/>
                <w:sz w:val="21"/>
                <w:szCs w:val="21"/>
              </w:rPr>
              <w:t xml:space="preserve">0.326</w:t>
            </w:r>
          </w:p>
        </w:tc>
      </w:tr>
      <w:tr>
        <w:trPr>
          <w:tblHeader w:val="false"/>
        </w:trPr>
        <w:tc>
          <w:tcPr>
            <w:tcW w:type="dxa" w:w="60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rFonts w:ascii="Calibri" w:cs="Calibri" w:eastAsia="Calibri" w:hAnsi="Calibri"/>
                <w:b w:val="false"/>
                <w:bCs w:val="false"/>
                <w:color w:val="111827"/>
                <w:sz w:val="21"/>
                <w:szCs w:val="21"/>
              </w:rPr>
              <w:t xml:space="preserve">Taux_activité</w:t>
            </w:r>
          </w:p>
        </w:tc>
        <w:tc>
          <w:tcPr>
            <w:tcW w:type="dxa" w:w="33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center"/>
            </w:pPr>
            <w:r>
              <w:rPr>
                <w:rFonts w:ascii="Calibri" w:cs="Calibri" w:eastAsia="Calibri" w:hAnsi="Calibri"/>
                <w:b/>
                <w:bCs/>
                <w:color w:val="111827"/>
                <w:sz w:val="21"/>
                <w:szCs w:val="21"/>
              </w:rPr>
              <w:t xml:space="preserve">0.292</w:t>
            </w:r>
          </w:p>
        </w:tc>
      </w:tr>
      <w:tr>
        <w:trPr>
          <w:tblHeader w:val="false"/>
        </w:trPr>
        <w:tc>
          <w:tcPr>
            <w:tcW w:type="dxa" w:w="60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rFonts w:ascii="Calibri" w:cs="Calibri" w:eastAsia="Calibri" w:hAnsi="Calibri"/>
                <w:b w:val="false"/>
                <w:bCs w:val="false"/>
                <w:color w:val="111827"/>
                <w:sz w:val="21"/>
                <w:szCs w:val="21"/>
              </w:rPr>
              <w:t xml:space="preserve">densite_education</w:t>
            </w:r>
          </w:p>
        </w:tc>
        <w:tc>
          <w:tcPr>
            <w:tcW w:type="dxa" w:w="33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center"/>
            </w:pPr>
            <w:r>
              <w:rPr>
                <w:rFonts w:ascii="Calibri" w:cs="Calibri" w:eastAsia="Calibri" w:hAnsi="Calibri"/>
                <w:b/>
                <w:bCs/>
                <w:color w:val="111827"/>
                <w:sz w:val="21"/>
                <w:szCs w:val="21"/>
              </w:rPr>
              <w:t xml:space="preserve">0.191</w:t>
            </w:r>
          </w:p>
        </w:tc>
      </w:tr>
    </w:tbl>
    <w:p>
      <w:pPr>
        <w:spacing w:after="120"/>
        <w:jc w:val="both"/>
      </w:pPr>
      <w:r>
        <w:rPr>
          <w:rFonts w:ascii="Calibri" w:cs="Calibri" w:eastAsia="Calibri" w:hAnsi="Calibri"/>
          <w:sz w:val="22"/>
          <w:szCs w:val="22"/>
        </w:rPr>
        <w:t xml:space="preserve"/>
      </w:r>
    </w:p>
    <w:p>
      <w:pPr>
        <w:spacing w:after="120"/>
        <w:jc w:val="both"/>
      </w:pPr>
      <w:r>
        <w:rPr>
          <w:rFonts w:ascii="Calibri" w:cs="Calibri" w:eastAsia="Calibri" w:hAnsi="Calibri"/>
          <w:sz w:val="22"/>
          <w:szCs w:val="22"/>
        </w:rPr>
        <w:t xml:space="preserve">Lecture : la densité commerciale (nb_commerces_1km, nb_banques_1km, nb_restaurants_500m), la part de la population ayant fait des études supérieures, et la densité d'axes routiers ressortent comme les meilleurs prédicteurs linéaires. Inversement, la corrélation reste modérée (≤ 0,41), ce qui suggère que la relation prix-environnement est largement non linéaire et justifie le recours à des modèles plus complexes (forêts d'arbres, boosting).</w:t>
      </w:r>
    </w:p>
    <w:p>
      <w:pPr>
        <w:spacing w:after="60" w:before="160"/>
        <w:jc w:val="center"/>
      </w:pPr>
      <w:r>
        <w:drawing>
          <wp:inline distT="0" distB="0" distL="0" distR="0">
            <wp:extent cx="5334000" cy="3619500"/>
            <wp:effectExtent t="0" r="0" b="0" l="0"/>
            <wp:docPr id="1" name="02_heatmap_correlations.png" descr="Figure 2. Heatmap des 15 variables les plus corrélées avec le prix au m²." title="Figure 2. Heatmap des 15 variables les plus corrélées avec le prix au m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619500"/>
                    </a:xfrm>
                    <a:prstGeom prst="rect">
                      <a:avLst/>
                    </a:prstGeom>
                  </pic:spPr>
                </pic:pic>
              </a:graphicData>
            </a:graphic>
          </wp:inline>
        </w:drawing>
      </w:r>
    </w:p>
    <w:p>
      <w:pPr>
        <w:spacing w:after="200"/>
        <w:jc w:val="center"/>
      </w:pPr>
      <w:r>
        <w:rPr>
          <w:rFonts w:ascii="Calibri" w:cs="Calibri" w:eastAsia="Calibri" w:hAnsi="Calibri"/>
          <w:i/>
          <w:iCs/>
          <w:color w:val="374151"/>
          <w:sz w:val="20"/>
          <w:szCs w:val="20"/>
        </w:rPr>
        <w:t xml:space="preserve">Figure 2. Heatmap des 15 variables les plus corrélées avec le prix au m².</w:t>
      </w:r>
    </w:p>
    <w:p>
      <w:pPr>
        <w:pStyle w:val="Heading1"/>
        <w:spacing w:after="160" w:before="320"/>
      </w:pPr>
      <w:r>
        <w:rPr>
          <w:rFonts w:ascii="Calibri" w:cs="Calibri" w:eastAsia="Calibri" w:hAnsi="Calibri"/>
          <w:b/>
          <w:bCs/>
          <w:color w:val="0F4C81"/>
          <w:sz w:val="32"/>
          <w:szCs w:val="32"/>
        </w:rPr>
        <w:t xml:space="preserve">6. Découpage Train / Test et standardisation</w:t>
      </w:r>
    </w:p>
    <w:p>
      <w:pPr>
        <w:spacing w:after="120"/>
        <w:jc w:val="both"/>
      </w:pPr>
      <w:r>
        <w:rPr>
          <w:rFonts w:ascii="Calibri" w:cs="Calibri" w:eastAsia="Calibri" w:hAnsi="Calibri"/>
          <w:sz w:val="22"/>
          <w:szCs w:val="22"/>
        </w:rPr>
        <w:t xml:space="preserve">Les données sont séparées en 80 % entraînement / 20 % test (random_state = 42), soit 1 181 biens en apprentissage et 296 biens en évaluation. Cette séparation garantit que les métriques rapportées reflètent la capacité du modèle à généraliser à des biens jamais vus, et non sa capacité à mémoriser le set d'entraînement.</w:t>
      </w:r>
    </w:p>
    <w:p>
      <w:pPr>
        <w:spacing w:after="120"/>
        <w:jc w:val="both"/>
      </w:pPr>
      <w:r>
        <w:rPr>
          <w:rFonts w:ascii="Calibri" w:cs="Calibri" w:eastAsia="Calibri" w:hAnsi="Calibri"/>
          <w:sz w:val="22"/>
          <w:szCs w:val="22"/>
        </w:rPr>
        <w:t xml:space="preserve">Une standardisation (StandardScaler : centrage et réduction) est appliquée pour XGBoost, qui s'optimise par descente de gradient. Decision Tree, Random Forest et CatBoost étant insensibles à l'échelle, ils consomment les données non standardisées. Le scaler est fitté uniquement sur le train puis appliqué tel quel au test, pour ne pas contaminer l'évaluation.</w:t>
      </w:r>
    </w:p>
    <w:p>
      <w:pPr>
        <w:pStyle w:val="Heading1"/>
        <w:spacing w:after="160" w:before="320"/>
      </w:pPr>
      <w:r>
        <w:rPr>
          <w:rFonts w:ascii="Calibri" w:cs="Calibri" w:eastAsia="Calibri" w:hAnsi="Calibri"/>
          <w:b/>
          <w:bCs/>
          <w:color w:val="0F4C81"/>
          <w:sz w:val="32"/>
          <w:szCs w:val="32"/>
        </w:rPr>
        <w:t xml:space="preserve">7. Algorithmes testés</w:t>
      </w:r>
    </w:p>
    <w:p>
      <w:pPr>
        <w:pStyle w:val="Heading2"/>
        <w:spacing w:after="120" w:before="240"/>
      </w:pPr>
      <w:r>
        <w:rPr>
          <w:rFonts w:ascii="Calibri" w:cs="Calibri" w:eastAsia="Calibri" w:hAnsi="Calibri"/>
          <w:b/>
          <w:bCs/>
          <w:color w:val="0F4C81"/>
          <w:sz w:val="26"/>
          <w:szCs w:val="26"/>
        </w:rPr>
        <w:t xml:space="preserve">7.1. Arbre de décision (Decision Tree)</w:t>
      </w:r>
    </w:p>
    <w:p>
      <w:pPr>
        <w:spacing w:after="120"/>
        <w:jc w:val="both"/>
      </w:pPr>
      <w:r>
        <w:rPr>
          <w:rFonts w:ascii="Calibri" w:cs="Calibri" w:eastAsia="Calibri" w:hAnsi="Calibri"/>
          <w:sz w:val="22"/>
          <w:szCs w:val="22"/>
        </w:rPr>
        <w:t xml:space="preserve">Modèle de référence le plus simple : il partitionne récursivement l'espace des variables en seuils. Très interprétable, mais tendance forte au surapprentissage. Profondeur limitée à 15. Sert ici de baseline.</w:t>
      </w:r>
    </w:p>
    <w:p>
      <w:pPr>
        <w:pStyle w:val="Heading2"/>
        <w:spacing w:after="120" w:before="240"/>
      </w:pPr>
      <w:r>
        <w:rPr>
          <w:rFonts w:ascii="Calibri" w:cs="Calibri" w:eastAsia="Calibri" w:hAnsi="Calibri"/>
          <w:b/>
          <w:bCs/>
          <w:color w:val="0F4C81"/>
          <w:sz w:val="26"/>
          <w:szCs w:val="26"/>
        </w:rPr>
        <w:t xml:space="preserve">7.2. Random Forest</w:t>
      </w:r>
    </w:p>
    <w:p>
      <w:pPr>
        <w:spacing w:after="120"/>
        <w:jc w:val="both"/>
      </w:pPr>
      <w:r>
        <w:rPr>
          <w:rFonts w:ascii="Calibri" w:cs="Calibri" w:eastAsia="Calibri" w:hAnsi="Calibri"/>
          <w:sz w:val="22"/>
          <w:szCs w:val="22"/>
        </w:rPr>
        <w:t xml:space="preserve">Ensemble de 100 arbres entraînés sur des sous-échantillons aléatoires des observations et des variables (bagging). La prédiction finale est la moyenne des arbres. Réduit fortement la variance de l'arbre seul. Profondeur maximale 20, parallélisation sur tous les cœurs.</w:t>
      </w:r>
    </w:p>
    <w:p>
      <w:pPr>
        <w:pStyle w:val="Heading2"/>
        <w:spacing w:after="120" w:before="240"/>
      </w:pPr>
      <w:r>
        <w:rPr>
          <w:rFonts w:ascii="Calibri" w:cs="Calibri" w:eastAsia="Calibri" w:hAnsi="Calibri"/>
          <w:b/>
          <w:bCs/>
          <w:color w:val="0F4C81"/>
          <w:sz w:val="26"/>
          <w:szCs w:val="26"/>
        </w:rPr>
        <w:t xml:space="preserve">7.3. CatBoost</w:t>
      </w:r>
    </w:p>
    <w:p>
      <w:pPr>
        <w:spacing w:after="120"/>
        <w:jc w:val="both"/>
      </w:pPr>
      <w:r>
        <w:rPr>
          <w:rFonts w:ascii="Calibri" w:cs="Calibri" w:eastAsia="Calibri" w:hAnsi="Calibri"/>
          <w:sz w:val="22"/>
          <w:szCs w:val="22"/>
        </w:rPr>
        <w:t xml:space="preserve">Gradient boosting de Yandex, conçu pour bien gérer nativement les variables catégoriques. Les arbres sont construits séquentiellement, chacun cherchant à corriger l'erreur résiduelle du précédent. Hyperparamètres testés : 300 itérations, learning_rate = 0,1, profondeur 8.</w:t>
      </w:r>
    </w:p>
    <w:p>
      <w:pPr>
        <w:pStyle w:val="Heading2"/>
        <w:spacing w:after="120" w:before="240"/>
      </w:pPr>
      <w:r>
        <w:rPr>
          <w:rFonts w:ascii="Calibri" w:cs="Calibri" w:eastAsia="Calibri" w:hAnsi="Calibri"/>
          <w:b/>
          <w:bCs/>
          <w:color w:val="0F4C81"/>
          <w:sz w:val="26"/>
          <w:szCs w:val="26"/>
        </w:rPr>
        <w:t xml:space="preserve">7.4. XGBoost (modèle retenu)</w:t>
      </w:r>
    </w:p>
    <w:p>
      <w:pPr>
        <w:spacing w:after="120"/>
        <w:jc w:val="both"/>
      </w:pPr>
      <w:r>
        <w:rPr>
          <w:rFonts w:ascii="Calibri" w:cs="Calibri" w:eastAsia="Calibri" w:hAnsi="Calibri"/>
          <w:sz w:val="22"/>
          <w:szCs w:val="22"/>
        </w:rPr>
        <w:t xml:space="preserve">Implémentation de référence du gradient boosting, avec régularisation L1/L2 et optimisation système (parallélisation, gestion mémoire). C'est l'algorithme qui a obtenu les meilleurs scores sur le test et qui a été sérialisé pour la mise en production. Hyperparamètres : 300 estimateurs, learning_rate = 0,1, profondeur 8.</w:t>
      </w:r>
    </w:p>
    <w:p>
      <w:pPr>
        <w:pStyle w:val="Heading1"/>
        <w:spacing w:after="160" w:before="320"/>
      </w:pPr>
      <w:r>
        <w:rPr>
          <w:rFonts w:ascii="Calibri" w:cs="Calibri" w:eastAsia="Calibri" w:hAnsi="Calibri"/>
          <w:b/>
          <w:bCs/>
          <w:color w:val="0F4C81"/>
          <w:sz w:val="32"/>
          <w:szCs w:val="32"/>
        </w:rPr>
        <w:t xml:space="preserve">8. Résultats comparatifs</w:t>
      </w:r>
    </w:p>
    <w:p>
      <w:pPr>
        <w:spacing w:after="120"/>
        <w:jc w:val="both"/>
      </w:pPr>
      <w:r>
        <w:rPr>
          <w:rFonts w:ascii="Calibri" w:cs="Calibri" w:eastAsia="Calibri" w:hAnsi="Calibri"/>
          <w:sz w:val="22"/>
          <w:szCs w:val="22"/>
        </w:rPr>
        <w:t xml:space="preserve">Trois métriques complémentaires sont utilisées pour évaluer chaque modèle, sur le train et sur le test :</w:t>
      </w:r>
    </w:p>
    <w:p>
      <w:pPr>
        <w:pStyle w:val="ListParagraph"/>
        <w:numPr>
          <w:ilvl w:val="0"/>
          <w:numId w:val="2"/>
        </w:numPr>
        <w:spacing w:after="80"/>
      </w:pPr>
      <w:r>
        <w:rPr>
          <w:rFonts w:ascii="Calibri" w:cs="Calibri" w:eastAsia="Calibri" w:hAnsi="Calibri"/>
          <w:b/>
          <w:bCs/>
          <w:sz w:val="22"/>
          <w:szCs w:val="22"/>
        </w:rPr>
        <w:t xml:space="preserve">R² </w:t>
      </w:r>
      <w:r>
        <w:rPr>
          <w:rFonts w:ascii="Calibri" w:cs="Calibri" w:eastAsia="Calibri" w:hAnsi="Calibri"/>
          <w:sz w:val="22"/>
          <w:szCs w:val="22"/>
        </w:rPr>
        <w:t xml:space="preserve">(coefficient de détermination, max = 1) : part de la variance du prix expliquée par le modèle.</w:t>
      </w:r>
    </w:p>
    <w:p>
      <w:pPr>
        <w:pStyle w:val="ListParagraph"/>
        <w:numPr>
          <w:ilvl w:val="0"/>
          <w:numId w:val="2"/>
        </w:numPr>
        <w:spacing w:after="80"/>
      </w:pPr>
      <w:r>
        <w:rPr>
          <w:rFonts w:ascii="Calibri" w:cs="Calibri" w:eastAsia="Calibri" w:hAnsi="Calibri"/>
          <w:b/>
          <w:bCs/>
          <w:sz w:val="22"/>
          <w:szCs w:val="22"/>
        </w:rPr>
        <w:t xml:space="preserve">RMSE </w:t>
      </w:r>
      <w:r>
        <w:rPr>
          <w:rFonts w:ascii="Calibri" w:cs="Calibri" w:eastAsia="Calibri" w:hAnsi="Calibri"/>
          <w:sz w:val="22"/>
          <w:szCs w:val="22"/>
        </w:rPr>
        <w:t xml:space="preserve">(racine de l'erreur quadratique moyenne) : erreur moyenne en DH/m², qui pénalise davantage les grosses erreurs.</w:t>
      </w:r>
    </w:p>
    <w:p>
      <w:pPr>
        <w:pStyle w:val="ListParagraph"/>
        <w:numPr>
          <w:ilvl w:val="0"/>
          <w:numId w:val="2"/>
        </w:numPr>
        <w:spacing w:after="80"/>
      </w:pPr>
      <w:r>
        <w:rPr>
          <w:rFonts w:ascii="Calibri" w:cs="Calibri" w:eastAsia="Calibri" w:hAnsi="Calibri"/>
          <w:b/>
          <w:bCs/>
          <w:sz w:val="22"/>
          <w:szCs w:val="22"/>
        </w:rPr>
        <w:t xml:space="preserve">MAE </w:t>
      </w:r>
      <w:r>
        <w:rPr>
          <w:rFonts w:ascii="Calibri" w:cs="Calibri" w:eastAsia="Calibri" w:hAnsi="Calibri"/>
          <w:sz w:val="22"/>
          <w:szCs w:val="22"/>
        </w:rPr>
        <w:t xml:space="preserve">(erreur absolue moyenne) : erreur moyenne en DH/m², plus robuste aux valeurs extrêmes.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340"/>
        <w:gridCol w:w="1340"/>
        <w:gridCol w:w="1040"/>
        <w:gridCol w:w="1040"/>
      </w:tblGrid>
      <w:tr>
        <w:trPr>
          <w:tblHeader/>
        </w:trPr>
        <w:tc>
          <w:tcPr>
            <w:tcW w:type="dxa" w:w="2200"/>
            <w:tcBorders>
              <w:top w:val="single" w:color="D1D5DB" w:sz="4"/>
              <w:left w:val="single" w:color="D1D5DB" w:sz="4"/>
              <w:bottom w:val="single" w:color="D1D5DB" w:sz="4"/>
              <w:right w:val="single" w:color="D1D5DB" w:sz="4"/>
            </w:tcBorders>
            <w:shd w:fill="0F4C81"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Modèle</w:t>
            </w:r>
          </w:p>
        </w:tc>
        <w:tc>
          <w:tcPr>
            <w:tcW w:type="dxa" w:w="1200"/>
            <w:tcBorders>
              <w:top w:val="single" w:color="D1D5DB" w:sz="4"/>
              <w:left w:val="single" w:color="D1D5DB" w:sz="4"/>
              <w:bottom w:val="single" w:color="D1D5DB" w:sz="4"/>
              <w:right w:val="single" w:color="D1D5DB" w:sz="4"/>
            </w:tcBorders>
            <w:shd w:fill="0F4C81" w:val="clear"/>
            <w:tcMar>
              <w:top w:type="dxa" w:w="100"/>
              <w:left w:type="dxa" w:w="140"/>
              <w:bottom w:type="dxa" w:w="100"/>
              <w:right w:type="dxa" w:w="140"/>
            </w:tcMar>
          </w:tcPr>
          <w:p>
            <w:pPr>
              <w:jc w:val="center"/>
            </w:pPr>
            <w:r>
              <w:rPr>
                <w:rFonts w:ascii="Calibri" w:cs="Calibri" w:eastAsia="Calibri" w:hAnsi="Calibri"/>
                <w:b/>
                <w:bCs/>
                <w:color w:val="FFFFFF"/>
                <w:sz w:val="21"/>
                <w:szCs w:val="21"/>
              </w:rPr>
              <w:t xml:space="preserve">R² Train</w:t>
            </w:r>
          </w:p>
        </w:tc>
        <w:tc>
          <w:tcPr>
            <w:tcW w:type="dxa" w:w="1200"/>
            <w:tcBorders>
              <w:top w:val="single" w:color="D1D5DB" w:sz="4"/>
              <w:left w:val="single" w:color="D1D5DB" w:sz="4"/>
              <w:bottom w:val="single" w:color="D1D5DB" w:sz="4"/>
              <w:right w:val="single" w:color="D1D5DB" w:sz="4"/>
            </w:tcBorders>
            <w:shd w:fill="0F4C81" w:val="clear"/>
            <w:tcMar>
              <w:top w:type="dxa" w:w="100"/>
              <w:left w:type="dxa" w:w="140"/>
              <w:bottom w:type="dxa" w:w="100"/>
              <w:right w:type="dxa" w:w="140"/>
            </w:tcMar>
          </w:tcPr>
          <w:p>
            <w:pPr>
              <w:jc w:val="center"/>
            </w:pPr>
            <w:r>
              <w:rPr>
                <w:rFonts w:ascii="Calibri" w:cs="Calibri" w:eastAsia="Calibri" w:hAnsi="Calibri"/>
                <w:b/>
                <w:bCs/>
                <w:color w:val="FFFFFF"/>
                <w:sz w:val="21"/>
                <w:szCs w:val="21"/>
              </w:rPr>
              <w:t xml:space="preserve">R² Test</w:t>
            </w:r>
          </w:p>
        </w:tc>
        <w:tc>
          <w:tcPr>
            <w:tcW w:type="dxa" w:w="1340"/>
            <w:tcBorders>
              <w:top w:val="single" w:color="D1D5DB" w:sz="4"/>
              <w:left w:val="single" w:color="D1D5DB" w:sz="4"/>
              <w:bottom w:val="single" w:color="D1D5DB" w:sz="4"/>
              <w:right w:val="single" w:color="D1D5DB" w:sz="4"/>
            </w:tcBorders>
            <w:shd w:fill="0F4C81" w:val="clear"/>
            <w:tcMar>
              <w:top w:type="dxa" w:w="100"/>
              <w:left w:type="dxa" w:w="140"/>
              <w:bottom w:type="dxa" w:w="100"/>
              <w:right w:type="dxa" w:w="140"/>
            </w:tcMar>
          </w:tcPr>
          <w:p>
            <w:pPr>
              <w:jc w:val="center"/>
            </w:pPr>
            <w:r>
              <w:rPr>
                <w:rFonts w:ascii="Calibri" w:cs="Calibri" w:eastAsia="Calibri" w:hAnsi="Calibri"/>
                <w:b/>
                <w:bCs/>
                <w:color w:val="FFFFFF"/>
                <w:sz w:val="21"/>
                <w:szCs w:val="21"/>
              </w:rPr>
              <w:t xml:space="preserve">RMSE Train</w:t>
            </w:r>
          </w:p>
        </w:tc>
        <w:tc>
          <w:tcPr>
            <w:tcW w:type="dxa" w:w="1340"/>
            <w:tcBorders>
              <w:top w:val="single" w:color="D1D5DB" w:sz="4"/>
              <w:left w:val="single" w:color="D1D5DB" w:sz="4"/>
              <w:bottom w:val="single" w:color="D1D5DB" w:sz="4"/>
              <w:right w:val="single" w:color="D1D5DB" w:sz="4"/>
            </w:tcBorders>
            <w:shd w:fill="0F4C81" w:val="clear"/>
            <w:tcMar>
              <w:top w:type="dxa" w:w="100"/>
              <w:left w:type="dxa" w:w="140"/>
              <w:bottom w:type="dxa" w:w="100"/>
              <w:right w:type="dxa" w:w="140"/>
            </w:tcMar>
          </w:tcPr>
          <w:p>
            <w:pPr>
              <w:jc w:val="center"/>
            </w:pPr>
            <w:r>
              <w:rPr>
                <w:rFonts w:ascii="Calibri" w:cs="Calibri" w:eastAsia="Calibri" w:hAnsi="Calibri"/>
                <w:b/>
                <w:bCs/>
                <w:color w:val="FFFFFF"/>
                <w:sz w:val="21"/>
                <w:szCs w:val="21"/>
              </w:rPr>
              <w:t xml:space="preserve">RMSE Test</w:t>
            </w:r>
          </w:p>
        </w:tc>
        <w:tc>
          <w:tcPr>
            <w:tcW w:type="dxa" w:w="1040"/>
            <w:tcBorders>
              <w:top w:val="single" w:color="D1D5DB" w:sz="4"/>
              <w:left w:val="single" w:color="D1D5DB" w:sz="4"/>
              <w:bottom w:val="single" w:color="D1D5DB" w:sz="4"/>
              <w:right w:val="single" w:color="D1D5DB" w:sz="4"/>
            </w:tcBorders>
            <w:shd w:fill="0F4C81" w:val="clear"/>
            <w:tcMar>
              <w:top w:type="dxa" w:w="100"/>
              <w:left w:type="dxa" w:w="140"/>
              <w:bottom w:type="dxa" w:w="100"/>
              <w:right w:type="dxa" w:w="140"/>
            </w:tcMar>
          </w:tcPr>
          <w:p>
            <w:pPr>
              <w:jc w:val="center"/>
            </w:pPr>
            <w:r>
              <w:rPr>
                <w:rFonts w:ascii="Calibri" w:cs="Calibri" w:eastAsia="Calibri" w:hAnsi="Calibri"/>
                <w:b/>
                <w:bCs/>
                <w:color w:val="FFFFFF"/>
                <w:sz w:val="21"/>
                <w:szCs w:val="21"/>
              </w:rPr>
              <w:t xml:space="preserve">MAE Train</w:t>
            </w:r>
          </w:p>
        </w:tc>
        <w:tc>
          <w:tcPr>
            <w:tcW w:type="dxa" w:w="1040"/>
            <w:tcBorders>
              <w:top w:val="single" w:color="D1D5DB" w:sz="4"/>
              <w:left w:val="single" w:color="D1D5DB" w:sz="4"/>
              <w:bottom w:val="single" w:color="D1D5DB" w:sz="4"/>
              <w:right w:val="single" w:color="D1D5DB" w:sz="4"/>
            </w:tcBorders>
            <w:shd w:fill="0F4C81" w:val="clear"/>
            <w:tcMar>
              <w:top w:type="dxa" w:w="100"/>
              <w:left w:type="dxa" w:w="140"/>
              <w:bottom w:type="dxa" w:w="100"/>
              <w:right w:type="dxa" w:w="140"/>
            </w:tcMar>
          </w:tcPr>
          <w:p>
            <w:pPr>
              <w:jc w:val="center"/>
            </w:pPr>
            <w:r>
              <w:rPr>
                <w:rFonts w:ascii="Calibri" w:cs="Calibri" w:eastAsia="Calibri" w:hAnsi="Calibri"/>
                <w:b/>
                <w:bCs/>
                <w:color w:val="FFFFFF"/>
                <w:sz w:val="21"/>
                <w:szCs w:val="21"/>
              </w:rPr>
              <w:t xml:space="preserve">MAE Test</w:t>
            </w:r>
          </w:p>
        </w:tc>
      </w:tr>
      <w:tr>
        <w:trPr>
          <w:tblHeader w:val="false"/>
        </w:trPr>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rFonts w:ascii="Calibri" w:cs="Calibri" w:eastAsia="Calibri" w:hAnsi="Calibri"/>
                <w:b w:val="false"/>
                <w:bCs w:val="false"/>
                <w:color w:val="111827"/>
                <w:sz w:val="21"/>
                <w:szCs w:val="21"/>
              </w:rPr>
              <w:t xml:space="preserve">Decision Tree</w:t>
            </w:r>
          </w:p>
        </w:tc>
        <w:tc>
          <w:tcPr>
            <w:tcW w:type="dxa" w:w="12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center"/>
            </w:pPr>
            <w:r>
              <w:rPr>
                <w:rFonts w:ascii="Calibri" w:cs="Calibri" w:eastAsia="Calibri" w:hAnsi="Calibri"/>
                <w:b w:val="false"/>
                <w:bCs w:val="false"/>
                <w:color w:val="111827"/>
                <w:sz w:val="21"/>
                <w:szCs w:val="21"/>
              </w:rPr>
              <w:t xml:space="preserve">0.867</w:t>
            </w:r>
          </w:p>
        </w:tc>
        <w:tc>
          <w:tcPr>
            <w:tcW w:type="dxa" w:w="12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center"/>
            </w:pPr>
            <w:r>
              <w:rPr>
                <w:rFonts w:ascii="Calibri" w:cs="Calibri" w:eastAsia="Calibri" w:hAnsi="Calibri"/>
                <w:b w:val="false"/>
                <w:bCs w:val="false"/>
                <w:color w:val="111827"/>
                <w:sz w:val="21"/>
                <w:szCs w:val="21"/>
              </w:rPr>
              <w:t xml:space="preserve">0.554</w:t>
            </w:r>
          </w:p>
        </w:tc>
        <w:tc>
          <w:tcPr>
            <w:tcW w:type="dxa" w:w="134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center"/>
            </w:pPr>
            <w:r>
              <w:rPr>
                <w:rFonts w:ascii="Calibri" w:cs="Calibri" w:eastAsia="Calibri" w:hAnsi="Calibri"/>
                <w:b w:val="false"/>
                <w:bCs w:val="false"/>
                <w:color w:val="111827"/>
                <w:sz w:val="21"/>
                <w:szCs w:val="21"/>
              </w:rPr>
              <w:t xml:space="preserve">2 599</w:t>
            </w:r>
          </w:p>
        </w:tc>
        <w:tc>
          <w:tcPr>
            <w:tcW w:type="dxa" w:w="134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center"/>
            </w:pPr>
            <w:r>
              <w:rPr>
                <w:rFonts w:ascii="Calibri" w:cs="Calibri" w:eastAsia="Calibri" w:hAnsi="Calibri"/>
                <w:b w:val="false"/>
                <w:bCs w:val="false"/>
                <w:color w:val="111827"/>
                <w:sz w:val="21"/>
                <w:szCs w:val="21"/>
              </w:rPr>
              <w:t xml:space="preserve">4 343</w:t>
            </w:r>
          </w:p>
        </w:tc>
        <w:tc>
          <w:tcPr>
            <w:tcW w:type="dxa" w:w="104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center"/>
            </w:pPr>
            <w:r>
              <w:rPr>
                <w:rFonts w:ascii="Calibri" w:cs="Calibri" w:eastAsia="Calibri" w:hAnsi="Calibri"/>
                <w:b w:val="false"/>
                <w:bCs w:val="false"/>
                <w:color w:val="111827"/>
                <w:sz w:val="21"/>
                <w:szCs w:val="21"/>
              </w:rPr>
              <w:t xml:space="preserve">1 264</w:t>
            </w:r>
          </w:p>
        </w:tc>
        <w:tc>
          <w:tcPr>
            <w:tcW w:type="dxa" w:w="104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center"/>
            </w:pPr>
            <w:r>
              <w:rPr>
                <w:rFonts w:ascii="Calibri" w:cs="Calibri" w:eastAsia="Calibri" w:hAnsi="Calibri"/>
                <w:b w:val="false"/>
                <w:bCs w:val="false"/>
                <w:color w:val="111827"/>
                <w:sz w:val="21"/>
                <w:szCs w:val="21"/>
              </w:rPr>
              <w:t xml:space="preserve">2 333</w:t>
            </w:r>
          </w:p>
        </w:tc>
      </w:tr>
      <w:tr>
        <w:trPr>
          <w:tblHeader w:val="false"/>
        </w:trPr>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rFonts w:ascii="Calibri" w:cs="Calibri" w:eastAsia="Calibri" w:hAnsi="Calibri"/>
                <w:b w:val="false"/>
                <w:bCs w:val="false"/>
                <w:color w:val="111827"/>
                <w:sz w:val="21"/>
                <w:szCs w:val="21"/>
              </w:rPr>
              <w:t xml:space="preserve">Random Forest</w:t>
            </w:r>
          </w:p>
        </w:tc>
        <w:tc>
          <w:tcPr>
            <w:tcW w:type="dxa" w:w="12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center"/>
            </w:pPr>
            <w:r>
              <w:rPr>
                <w:rFonts w:ascii="Calibri" w:cs="Calibri" w:eastAsia="Calibri" w:hAnsi="Calibri"/>
                <w:b w:val="false"/>
                <w:bCs w:val="false"/>
                <w:color w:val="111827"/>
                <w:sz w:val="21"/>
                <w:szCs w:val="21"/>
              </w:rPr>
              <w:t xml:space="preserve">0.847</w:t>
            </w:r>
          </w:p>
        </w:tc>
        <w:tc>
          <w:tcPr>
            <w:tcW w:type="dxa" w:w="12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center"/>
            </w:pPr>
            <w:r>
              <w:rPr>
                <w:rFonts w:ascii="Calibri" w:cs="Calibri" w:eastAsia="Calibri" w:hAnsi="Calibri"/>
                <w:b w:val="false"/>
                <w:bCs w:val="false"/>
                <w:color w:val="111827"/>
                <w:sz w:val="21"/>
                <w:szCs w:val="21"/>
              </w:rPr>
              <w:t xml:space="preserve">0.700</w:t>
            </w:r>
          </w:p>
        </w:tc>
        <w:tc>
          <w:tcPr>
            <w:tcW w:type="dxa" w:w="134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center"/>
            </w:pPr>
            <w:r>
              <w:rPr>
                <w:rFonts w:ascii="Calibri" w:cs="Calibri" w:eastAsia="Calibri" w:hAnsi="Calibri"/>
                <w:b w:val="false"/>
                <w:bCs w:val="false"/>
                <w:color w:val="111827"/>
                <w:sz w:val="21"/>
                <w:szCs w:val="21"/>
              </w:rPr>
              <w:t xml:space="preserve">2 780</w:t>
            </w:r>
          </w:p>
        </w:tc>
        <w:tc>
          <w:tcPr>
            <w:tcW w:type="dxa" w:w="134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center"/>
            </w:pPr>
            <w:r>
              <w:rPr>
                <w:rFonts w:ascii="Calibri" w:cs="Calibri" w:eastAsia="Calibri" w:hAnsi="Calibri"/>
                <w:b w:val="false"/>
                <w:bCs w:val="false"/>
                <w:color w:val="111827"/>
                <w:sz w:val="21"/>
                <w:szCs w:val="21"/>
              </w:rPr>
              <w:t xml:space="preserve">3 563</w:t>
            </w:r>
          </w:p>
        </w:tc>
        <w:tc>
          <w:tcPr>
            <w:tcW w:type="dxa" w:w="104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center"/>
            </w:pPr>
            <w:r>
              <w:rPr>
                <w:rFonts w:ascii="Calibri" w:cs="Calibri" w:eastAsia="Calibri" w:hAnsi="Calibri"/>
                <w:b w:val="false"/>
                <w:bCs w:val="false"/>
                <w:color w:val="111827"/>
                <w:sz w:val="21"/>
                <w:szCs w:val="21"/>
              </w:rPr>
              <w:t xml:space="preserve">1 532</w:t>
            </w:r>
          </w:p>
        </w:tc>
        <w:tc>
          <w:tcPr>
            <w:tcW w:type="dxa" w:w="104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center"/>
            </w:pPr>
            <w:r>
              <w:rPr>
                <w:rFonts w:ascii="Calibri" w:cs="Calibri" w:eastAsia="Calibri" w:hAnsi="Calibri"/>
                <w:b w:val="false"/>
                <w:bCs w:val="false"/>
                <w:color w:val="111827"/>
                <w:sz w:val="21"/>
                <w:szCs w:val="21"/>
              </w:rPr>
              <w:t xml:space="preserve">2 225</w:t>
            </w:r>
          </w:p>
        </w:tc>
      </w:tr>
      <w:tr>
        <w:trPr>
          <w:tblHeader w:val="false"/>
        </w:trPr>
        <w:tc>
          <w:tcPr>
            <w:tcW w:type="dxa" w:w="2200"/>
            <w:tcBorders>
              <w:top w:val="single" w:color="D1D5DB" w:sz="4"/>
              <w:left w:val="single" w:color="D1D5DB" w:sz="4"/>
              <w:bottom w:val="single" w:color="D1D5DB" w:sz="4"/>
              <w:right w:val="single" w:color="D1D5DB" w:sz="4"/>
            </w:tcBorders>
            <w:shd w:fill="EFF6FF" w:val="clear"/>
            <w:tcMar>
              <w:top w:type="dxa" w:w="100"/>
              <w:left w:type="dxa" w:w="140"/>
              <w:bottom w:type="dxa" w:w="100"/>
              <w:right w:type="dxa" w:w="140"/>
            </w:tcMar>
          </w:tcPr>
          <w:p>
            <w:pPr>
              <w:jc w:val="left"/>
            </w:pPr>
            <w:r>
              <w:rPr>
                <w:rFonts w:ascii="Calibri" w:cs="Calibri" w:eastAsia="Calibri" w:hAnsi="Calibri"/>
                <w:b/>
                <w:bCs/>
                <w:color w:val="0F4C81"/>
                <w:sz w:val="21"/>
                <w:szCs w:val="21"/>
              </w:rPr>
              <w:t xml:space="preserve">XGBoost  (★ retenu)</w:t>
            </w:r>
          </w:p>
        </w:tc>
        <w:tc>
          <w:tcPr>
            <w:tcW w:type="dxa" w:w="1200"/>
            <w:tcBorders>
              <w:top w:val="single" w:color="D1D5DB" w:sz="4"/>
              <w:left w:val="single" w:color="D1D5DB" w:sz="4"/>
              <w:bottom w:val="single" w:color="D1D5DB" w:sz="4"/>
              <w:right w:val="single" w:color="D1D5DB" w:sz="4"/>
            </w:tcBorders>
            <w:shd w:fill="EFF6FF" w:val="clear"/>
            <w:tcMar>
              <w:top w:type="dxa" w:w="100"/>
              <w:left w:type="dxa" w:w="140"/>
              <w:bottom w:type="dxa" w:w="100"/>
              <w:right w:type="dxa" w:w="140"/>
            </w:tcMar>
          </w:tcPr>
          <w:p>
            <w:pPr>
              <w:jc w:val="center"/>
            </w:pPr>
            <w:r>
              <w:rPr>
                <w:rFonts w:ascii="Calibri" w:cs="Calibri" w:eastAsia="Calibri" w:hAnsi="Calibri"/>
                <w:b w:val="false"/>
                <w:bCs w:val="false"/>
                <w:color w:val="111827"/>
                <w:sz w:val="21"/>
                <w:szCs w:val="21"/>
              </w:rPr>
              <w:t xml:space="preserve">0.867</w:t>
            </w:r>
          </w:p>
        </w:tc>
        <w:tc>
          <w:tcPr>
            <w:tcW w:type="dxa" w:w="1200"/>
            <w:tcBorders>
              <w:top w:val="single" w:color="D1D5DB" w:sz="4"/>
              <w:left w:val="single" w:color="D1D5DB" w:sz="4"/>
              <w:bottom w:val="single" w:color="D1D5DB" w:sz="4"/>
              <w:right w:val="single" w:color="D1D5DB" w:sz="4"/>
            </w:tcBorders>
            <w:shd w:fill="EFF6FF" w:val="clear"/>
            <w:tcMar>
              <w:top w:type="dxa" w:w="100"/>
              <w:left w:type="dxa" w:w="140"/>
              <w:bottom w:type="dxa" w:w="100"/>
              <w:right w:type="dxa" w:w="140"/>
            </w:tcMar>
          </w:tcPr>
          <w:p>
            <w:pPr>
              <w:jc w:val="center"/>
            </w:pPr>
            <w:r>
              <w:rPr>
                <w:rFonts w:ascii="Calibri" w:cs="Calibri" w:eastAsia="Calibri" w:hAnsi="Calibri"/>
                <w:b/>
                <w:bCs/>
                <w:color w:val="0F4C81"/>
                <w:sz w:val="21"/>
                <w:szCs w:val="21"/>
              </w:rPr>
              <w:t xml:space="preserve">0.721</w:t>
            </w:r>
          </w:p>
        </w:tc>
        <w:tc>
          <w:tcPr>
            <w:tcW w:type="dxa" w:w="1340"/>
            <w:tcBorders>
              <w:top w:val="single" w:color="D1D5DB" w:sz="4"/>
              <w:left w:val="single" w:color="D1D5DB" w:sz="4"/>
              <w:bottom w:val="single" w:color="D1D5DB" w:sz="4"/>
              <w:right w:val="single" w:color="D1D5DB" w:sz="4"/>
            </w:tcBorders>
            <w:shd w:fill="EFF6FF" w:val="clear"/>
            <w:tcMar>
              <w:top w:type="dxa" w:w="100"/>
              <w:left w:type="dxa" w:w="140"/>
              <w:bottom w:type="dxa" w:w="100"/>
              <w:right w:type="dxa" w:w="140"/>
            </w:tcMar>
          </w:tcPr>
          <w:p>
            <w:pPr>
              <w:jc w:val="center"/>
            </w:pPr>
            <w:r>
              <w:rPr>
                <w:rFonts w:ascii="Calibri" w:cs="Calibri" w:eastAsia="Calibri" w:hAnsi="Calibri"/>
                <w:b w:val="false"/>
                <w:bCs w:val="false"/>
                <w:color w:val="111827"/>
                <w:sz w:val="21"/>
                <w:szCs w:val="21"/>
              </w:rPr>
              <w:t xml:space="preserve">2 598</w:t>
            </w:r>
          </w:p>
        </w:tc>
        <w:tc>
          <w:tcPr>
            <w:tcW w:type="dxa" w:w="1340"/>
            <w:tcBorders>
              <w:top w:val="single" w:color="D1D5DB" w:sz="4"/>
              <w:left w:val="single" w:color="D1D5DB" w:sz="4"/>
              <w:bottom w:val="single" w:color="D1D5DB" w:sz="4"/>
              <w:right w:val="single" w:color="D1D5DB" w:sz="4"/>
            </w:tcBorders>
            <w:shd w:fill="EFF6FF" w:val="clear"/>
            <w:tcMar>
              <w:top w:type="dxa" w:w="100"/>
              <w:left w:type="dxa" w:w="140"/>
              <w:bottom w:type="dxa" w:w="100"/>
              <w:right w:type="dxa" w:w="140"/>
            </w:tcMar>
          </w:tcPr>
          <w:p>
            <w:pPr>
              <w:jc w:val="center"/>
            </w:pPr>
            <w:r>
              <w:rPr>
                <w:rFonts w:ascii="Calibri" w:cs="Calibri" w:eastAsia="Calibri" w:hAnsi="Calibri"/>
                <w:b/>
                <w:bCs/>
                <w:color w:val="0F4C81"/>
                <w:sz w:val="21"/>
                <w:szCs w:val="21"/>
              </w:rPr>
              <w:t xml:space="preserve">3 437</w:t>
            </w:r>
          </w:p>
        </w:tc>
        <w:tc>
          <w:tcPr>
            <w:tcW w:type="dxa" w:w="1040"/>
            <w:tcBorders>
              <w:top w:val="single" w:color="D1D5DB" w:sz="4"/>
              <w:left w:val="single" w:color="D1D5DB" w:sz="4"/>
              <w:bottom w:val="single" w:color="D1D5DB" w:sz="4"/>
              <w:right w:val="single" w:color="D1D5DB" w:sz="4"/>
            </w:tcBorders>
            <w:shd w:fill="EFF6FF" w:val="clear"/>
            <w:tcMar>
              <w:top w:type="dxa" w:w="100"/>
              <w:left w:type="dxa" w:w="140"/>
              <w:bottom w:type="dxa" w:w="100"/>
              <w:right w:type="dxa" w:w="140"/>
            </w:tcMar>
          </w:tcPr>
          <w:p>
            <w:pPr>
              <w:jc w:val="center"/>
            </w:pPr>
            <w:r>
              <w:rPr>
                <w:rFonts w:ascii="Calibri" w:cs="Calibri" w:eastAsia="Calibri" w:hAnsi="Calibri"/>
                <w:b w:val="false"/>
                <w:bCs w:val="false"/>
                <w:color w:val="111827"/>
                <w:sz w:val="21"/>
                <w:szCs w:val="21"/>
              </w:rPr>
              <w:t xml:space="preserve">1 267</w:t>
            </w:r>
          </w:p>
        </w:tc>
        <w:tc>
          <w:tcPr>
            <w:tcW w:type="dxa" w:w="1040"/>
            <w:tcBorders>
              <w:top w:val="single" w:color="D1D5DB" w:sz="4"/>
              <w:left w:val="single" w:color="D1D5DB" w:sz="4"/>
              <w:bottom w:val="single" w:color="D1D5DB" w:sz="4"/>
              <w:right w:val="single" w:color="D1D5DB" w:sz="4"/>
            </w:tcBorders>
            <w:shd w:fill="EFF6FF" w:val="clear"/>
            <w:tcMar>
              <w:top w:type="dxa" w:w="100"/>
              <w:left w:type="dxa" w:w="140"/>
              <w:bottom w:type="dxa" w:w="100"/>
              <w:right w:type="dxa" w:w="140"/>
            </w:tcMar>
          </w:tcPr>
          <w:p>
            <w:pPr>
              <w:jc w:val="center"/>
            </w:pPr>
            <w:r>
              <w:rPr>
                <w:rFonts w:ascii="Calibri" w:cs="Calibri" w:eastAsia="Calibri" w:hAnsi="Calibri"/>
                <w:b/>
                <w:bCs/>
                <w:color w:val="0F4C81"/>
                <w:sz w:val="21"/>
                <w:szCs w:val="21"/>
              </w:rPr>
              <w:t xml:space="preserve">2 033</w:t>
            </w:r>
          </w:p>
        </w:tc>
      </w:tr>
    </w:tbl>
    <w:p>
      <w:pPr>
        <w:spacing w:after="120"/>
        <w:jc w:val="both"/>
      </w:pPr>
      <w:r>
        <w:rPr>
          <w:rFonts w:ascii="Calibri" w:cs="Calibri" w:eastAsia="Calibri" w:hAnsi="Calibri"/>
          <w:sz w:val="22"/>
          <w:szCs w:val="22"/>
        </w:rPr>
        <w:t xml:space="preserve"/>
      </w:r>
    </w:p>
    <w:p>
      <w:pPr>
        <w:spacing w:after="120"/>
        <w:jc w:val="both"/>
      </w:pPr>
      <w:r>
        <w:rPr>
          <w:rFonts w:ascii="Calibri" w:cs="Calibri" w:eastAsia="Calibri" w:hAnsi="Calibri"/>
          <w:sz w:val="22"/>
          <w:szCs w:val="22"/>
        </w:rPr>
        <w:t xml:space="preserve">Lecture : le passage du Decision Tree à Random Forest fait gagner près de 15 points de R² sur le test (0,55 → 0,70), confirmant l'intérêt de l'ensembling pour réduire le surapprentissage. XGBoost surpasse encore légèrement Random Forest et obtient le meilleur score sur les trois métriques de test (R² = 0.721, RMSE = 3 437 DH/m², MAE = 2 033 DH/m²). L'écart Train-Test reste contenu pour XGBoost et Random Forest, signe d'une généralisation correcte ; il est en revanche élevé pour Decision Tree, qui mémorise davantage qu'il n'apprend des structures généralisables.</w:t>
      </w:r>
    </w:p>
    <w:p>
      <w:pPr>
        <w:spacing w:after="60" w:before="160"/>
        <w:jc w:val="center"/>
      </w:pPr>
      <w:r>
        <w:drawing>
          <wp:inline distT="0" distB="0" distL="0" distR="0">
            <wp:extent cx="5334000" cy="3619500"/>
            <wp:effectExtent t="0" r="0" b="0" l="0"/>
            <wp:docPr id="1" name="03_comparaison_modeles.png" descr="Figure 3. Comparaison des modèles : R², RMSE, MAE, écart Train - Test (diagnostic surapprentissage)." title="Figure 3. Comparaison des modèles : R², RMSE, MAE, écart Train - Test (diagnostic surapprenti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619500"/>
                    </a:xfrm>
                    <a:prstGeom prst="rect">
                      <a:avLst/>
                    </a:prstGeom>
                  </pic:spPr>
                </pic:pic>
              </a:graphicData>
            </a:graphic>
          </wp:inline>
        </w:drawing>
      </w:r>
    </w:p>
    <w:p>
      <w:pPr>
        <w:spacing w:after="200"/>
        <w:jc w:val="center"/>
      </w:pPr>
      <w:r>
        <w:rPr>
          <w:rFonts w:ascii="Calibri" w:cs="Calibri" w:eastAsia="Calibri" w:hAnsi="Calibri"/>
          <w:i/>
          <w:iCs/>
          <w:color w:val="374151"/>
          <w:sz w:val="20"/>
          <w:szCs w:val="20"/>
        </w:rPr>
        <w:t xml:space="preserve">Figure 3. Comparaison des modèles : R², RMSE, MAE, écart Train - Test (diagnostic surapprentissage).</w:t>
      </w:r>
    </w:p>
    <w:p>
      <w:pPr>
        <w:pStyle w:val="Heading1"/>
        <w:spacing w:after="160" w:before="320"/>
      </w:pPr>
      <w:r>
        <w:rPr>
          <w:rFonts w:ascii="Calibri" w:cs="Calibri" w:eastAsia="Calibri" w:hAnsi="Calibri"/>
          <w:b/>
          <w:bCs/>
          <w:color w:val="0F4C81"/>
          <w:sz w:val="32"/>
          <w:szCs w:val="32"/>
        </w:rPr>
        <w:t xml:space="preserve">9. Importance des variables</w:t>
      </w:r>
    </w:p>
    <w:p>
      <w:pPr>
        <w:spacing w:after="120"/>
        <w:jc w:val="both"/>
      </w:pPr>
      <w:r>
        <w:rPr>
          <w:rFonts w:ascii="Calibri" w:cs="Calibri" w:eastAsia="Calibri" w:hAnsi="Calibri"/>
          <w:sz w:val="22"/>
          <w:szCs w:val="22"/>
        </w:rPr>
        <w:t xml:space="preserve">L'importance des variables de XGBoost mesure, pour chaque feature, la contribution moyenne à la réduction de l'erreur dans les arbres. Elle classe les features par ordre d'utilité pour le modèle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0"/>
        <w:gridCol w:w="3560"/>
      </w:tblGrid>
      <w:tr>
        <w:trPr>
          <w:tblHeader/>
        </w:trPr>
        <w:tc>
          <w:tcPr>
            <w:tcW w:type="dxa" w:w="5800"/>
            <w:tcBorders>
              <w:top w:val="single" w:color="D1D5DB" w:sz="4"/>
              <w:left w:val="single" w:color="D1D5DB" w:sz="4"/>
              <w:bottom w:val="single" w:color="D1D5DB" w:sz="4"/>
              <w:right w:val="single" w:color="D1D5DB" w:sz="4"/>
            </w:tcBorders>
            <w:shd w:fill="0F4C81"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Variable</w:t>
            </w:r>
          </w:p>
        </w:tc>
        <w:tc>
          <w:tcPr>
            <w:tcW w:type="dxa" w:w="3560"/>
            <w:tcBorders>
              <w:top w:val="single" w:color="D1D5DB" w:sz="4"/>
              <w:left w:val="single" w:color="D1D5DB" w:sz="4"/>
              <w:bottom w:val="single" w:color="D1D5DB" w:sz="4"/>
              <w:right w:val="single" w:color="D1D5DB" w:sz="4"/>
            </w:tcBorders>
            <w:shd w:fill="0F4C81" w:val="clear"/>
            <w:tcMar>
              <w:top w:type="dxa" w:w="100"/>
              <w:left w:type="dxa" w:w="140"/>
              <w:bottom w:type="dxa" w:w="100"/>
              <w:right w:type="dxa" w:w="140"/>
            </w:tcMar>
          </w:tcPr>
          <w:p>
            <w:pPr>
              <w:jc w:val="center"/>
            </w:pPr>
            <w:r>
              <w:rPr>
                <w:rFonts w:ascii="Calibri" w:cs="Calibri" w:eastAsia="Calibri" w:hAnsi="Calibri"/>
                <w:b/>
                <w:bCs/>
                <w:color w:val="FFFFFF"/>
                <w:sz w:val="21"/>
                <w:szCs w:val="21"/>
              </w:rPr>
              <w:t xml:space="preserve">Importance</w:t>
            </w:r>
          </w:p>
        </w:tc>
      </w:tr>
      <w:tr>
        <w:trPr>
          <w:tblHeader w:val="false"/>
        </w:trPr>
        <w:tc>
          <w:tcPr>
            <w:tcW w:type="dxa" w:w="58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rFonts w:ascii="Calibri" w:cs="Calibri" w:eastAsia="Calibri" w:hAnsi="Calibri"/>
                <w:b w:val="false"/>
                <w:bCs w:val="false"/>
                <w:color w:val="111827"/>
                <w:sz w:val="21"/>
                <w:szCs w:val="21"/>
              </w:rPr>
              <w:t xml:space="preserve">temps_Maarif</w:t>
            </w:r>
          </w:p>
        </w:tc>
        <w:tc>
          <w:tcPr>
            <w:tcW w:type="dxa" w:w="35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center"/>
            </w:pPr>
            <w:r>
              <w:rPr>
                <w:rFonts w:ascii="Calibri" w:cs="Calibri" w:eastAsia="Calibri" w:hAnsi="Calibri"/>
                <w:b/>
                <w:bCs/>
                <w:color w:val="111827"/>
                <w:sz w:val="21"/>
                <w:szCs w:val="21"/>
              </w:rPr>
              <w:t xml:space="preserve">0.4293</w:t>
            </w:r>
          </w:p>
        </w:tc>
      </w:tr>
      <w:tr>
        <w:trPr>
          <w:tblHeader w:val="false"/>
        </w:trPr>
        <w:tc>
          <w:tcPr>
            <w:tcW w:type="dxa" w:w="58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rFonts w:ascii="Calibri" w:cs="Calibri" w:eastAsia="Calibri" w:hAnsi="Calibri"/>
                <w:b w:val="false"/>
                <w:bCs w:val="false"/>
                <w:color w:val="111827"/>
                <w:sz w:val="21"/>
                <w:szCs w:val="21"/>
              </w:rPr>
              <w:t xml:space="preserve">dist_voie_primaire_min_m</w:t>
            </w:r>
          </w:p>
        </w:tc>
        <w:tc>
          <w:tcPr>
            <w:tcW w:type="dxa" w:w="35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center"/>
            </w:pPr>
            <w:r>
              <w:rPr>
                <w:rFonts w:ascii="Calibri" w:cs="Calibri" w:eastAsia="Calibri" w:hAnsi="Calibri"/>
                <w:b/>
                <w:bCs/>
                <w:color w:val="111827"/>
                <w:sz w:val="21"/>
                <w:szCs w:val="21"/>
              </w:rPr>
              <w:t xml:space="preserve">0.1471</w:t>
            </w:r>
          </w:p>
        </w:tc>
      </w:tr>
      <w:tr>
        <w:trPr>
          <w:tblHeader w:val="false"/>
        </w:trPr>
        <w:tc>
          <w:tcPr>
            <w:tcW w:type="dxa" w:w="58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rFonts w:ascii="Calibri" w:cs="Calibri" w:eastAsia="Calibri" w:hAnsi="Calibri"/>
                <w:b w:val="false"/>
                <w:bCs w:val="false"/>
                <w:color w:val="111827"/>
                <w:sz w:val="21"/>
                <w:szCs w:val="21"/>
              </w:rPr>
              <w:t xml:space="preserve">nb_nuisance_500m</w:t>
            </w:r>
          </w:p>
        </w:tc>
        <w:tc>
          <w:tcPr>
            <w:tcW w:type="dxa" w:w="35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center"/>
            </w:pPr>
            <w:r>
              <w:rPr>
                <w:rFonts w:ascii="Calibri" w:cs="Calibri" w:eastAsia="Calibri" w:hAnsi="Calibri"/>
                <w:b/>
                <w:bCs/>
                <w:color w:val="111827"/>
                <w:sz w:val="21"/>
                <w:szCs w:val="21"/>
              </w:rPr>
              <w:t xml:space="preserve">0.0813</w:t>
            </w:r>
          </w:p>
        </w:tc>
      </w:tr>
      <w:tr>
        <w:trPr>
          <w:tblHeader w:val="false"/>
        </w:trPr>
        <w:tc>
          <w:tcPr>
            <w:tcW w:type="dxa" w:w="58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rFonts w:ascii="Calibri" w:cs="Calibri" w:eastAsia="Calibri" w:hAnsi="Calibri"/>
                <w:b w:val="false"/>
                <w:bCs w:val="false"/>
                <w:color w:val="111827"/>
                <w:sz w:val="21"/>
                <w:szCs w:val="21"/>
              </w:rPr>
              <w:t xml:space="preserve">Taille_de_ménage</w:t>
            </w:r>
          </w:p>
        </w:tc>
        <w:tc>
          <w:tcPr>
            <w:tcW w:type="dxa" w:w="35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center"/>
            </w:pPr>
            <w:r>
              <w:rPr>
                <w:rFonts w:ascii="Calibri" w:cs="Calibri" w:eastAsia="Calibri" w:hAnsi="Calibri"/>
                <w:b/>
                <w:bCs/>
                <w:color w:val="111827"/>
                <w:sz w:val="21"/>
                <w:szCs w:val="21"/>
              </w:rPr>
              <w:t xml:space="preserve">0.0574</w:t>
            </w:r>
          </w:p>
        </w:tc>
      </w:tr>
      <w:tr>
        <w:trPr>
          <w:tblHeader w:val="false"/>
        </w:trPr>
        <w:tc>
          <w:tcPr>
            <w:tcW w:type="dxa" w:w="58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rFonts w:ascii="Calibri" w:cs="Calibri" w:eastAsia="Calibri" w:hAnsi="Calibri"/>
                <w:b w:val="false"/>
                <w:bCs w:val="false"/>
                <w:color w:val="111827"/>
                <w:sz w:val="21"/>
                <w:szCs w:val="21"/>
              </w:rPr>
              <w:t xml:space="preserve">temps_CFC</w:t>
            </w:r>
          </w:p>
        </w:tc>
        <w:tc>
          <w:tcPr>
            <w:tcW w:type="dxa" w:w="35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center"/>
            </w:pPr>
            <w:r>
              <w:rPr>
                <w:rFonts w:ascii="Calibri" w:cs="Calibri" w:eastAsia="Calibri" w:hAnsi="Calibri"/>
                <w:b/>
                <w:bCs/>
                <w:color w:val="111827"/>
                <w:sz w:val="21"/>
                <w:szCs w:val="21"/>
              </w:rPr>
              <w:t xml:space="preserve">0.0563</w:t>
            </w:r>
          </w:p>
        </w:tc>
      </w:tr>
      <w:tr>
        <w:trPr>
          <w:tblHeader w:val="false"/>
        </w:trPr>
        <w:tc>
          <w:tcPr>
            <w:tcW w:type="dxa" w:w="58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rFonts w:ascii="Calibri" w:cs="Calibri" w:eastAsia="Calibri" w:hAnsi="Calibri"/>
                <w:b w:val="false"/>
                <w:bCs w:val="false"/>
                <w:color w:val="111827"/>
                <w:sz w:val="21"/>
                <w:szCs w:val="21"/>
              </w:rPr>
              <w:t xml:space="preserve">Taux_activité</w:t>
            </w:r>
          </w:p>
        </w:tc>
        <w:tc>
          <w:tcPr>
            <w:tcW w:type="dxa" w:w="35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center"/>
            </w:pPr>
            <w:r>
              <w:rPr>
                <w:rFonts w:ascii="Calibri" w:cs="Calibri" w:eastAsia="Calibri" w:hAnsi="Calibri"/>
                <w:b/>
                <w:bCs/>
                <w:color w:val="111827"/>
                <w:sz w:val="21"/>
                <w:szCs w:val="21"/>
              </w:rPr>
              <w:t xml:space="preserve">0.0291</w:t>
            </w:r>
          </w:p>
        </w:tc>
      </w:tr>
      <w:tr>
        <w:trPr>
          <w:tblHeader w:val="false"/>
        </w:trPr>
        <w:tc>
          <w:tcPr>
            <w:tcW w:type="dxa" w:w="58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rFonts w:ascii="Calibri" w:cs="Calibri" w:eastAsia="Calibri" w:hAnsi="Calibri"/>
                <w:b w:val="false"/>
                <w:bCs w:val="false"/>
                <w:color w:val="111827"/>
                <w:sz w:val="21"/>
                <w:szCs w:val="21"/>
              </w:rPr>
              <w:t xml:space="preserve">nb_nuisance</w:t>
            </w:r>
          </w:p>
        </w:tc>
        <w:tc>
          <w:tcPr>
            <w:tcW w:type="dxa" w:w="35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center"/>
            </w:pPr>
            <w:r>
              <w:rPr>
                <w:rFonts w:ascii="Calibri" w:cs="Calibri" w:eastAsia="Calibri" w:hAnsi="Calibri"/>
                <w:b/>
                <w:bCs/>
                <w:color w:val="111827"/>
                <w:sz w:val="21"/>
                <w:szCs w:val="21"/>
              </w:rPr>
              <w:t xml:space="preserve">0.0247</w:t>
            </w:r>
          </w:p>
        </w:tc>
      </w:tr>
      <w:tr>
        <w:trPr>
          <w:tblHeader w:val="false"/>
        </w:trPr>
        <w:tc>
          <w:tcPr>
            <w:tcW w:type="dxa" w:w="58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rFonts w:ascii="Calibri" w:cs="Calibri" w:eastAsia="Calibri" w:hAnsi="Calibri"/>
                <w:b w:val="false"/>
                <w:bCs w:val="false"/>
                <w:color w:val="111827"/>
                <w:sz w:val="21"/>
                <w:szCs w:val="21"/>
              </w:rPr>
              <w:t xml:space="preserve">dist_clinique</w:t>
            </w:r>
          </w:p>
        </w:tc>
        <w:tc>
          <w:tcPr>
            <w:tcW w:type="dxa" w:w="35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center"/>
            </w:pPr>
            <w:r>
              <w:rPr>
                <w:rFonts w:ascii="Calibri" w:cs="Calibri" w:eastAsia="Calibri" w:hAnsi="Calibri"/>
                <w:b/>
                <w:bCs/>
                <w:color w:val="111827"/>
                <w:sz w:val="21"/>
                <w:szCs w:val="21"/>
              </w:rPr>
              <w:t xml:space="preserve">0.0195</w:t>
            </w:r>
          </w:p>
        </w:tc>
      </w:tr>
      <w:tr>
        <w:trPr>
          <w:tblHeader w:val="false"/>
        </w:trPr>
        <w:tc>
          <w:tcPr>
            <w:tcW w:type="dxa" w:w="58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rFonts w:ascii="Calibri" w:cs="Calibri" w:eastAsia="Calibri" w:hAnsi="Calibri"/>
                <w:b w:val="false"/>
                <w:bCs w:val="false"/>
                <w:color w:val="111827"/>
                <w:sz w:val="21"/>
                <w:szCs w:val="21"/>
              </w:rPr>
              <w:t xml:space="preserve">Condition / Zonage</w:t>
            </w:r>
          </w:p>
        </w:tc>
        <w:tc>
          <w:tcPr>
            <w:tcW w:type="dxa" w:w="35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center"/>
            </w:pPr>
            <w:r>
              <w:rPr>
                <w:rFonts w:ascii="Calibri" w:cs="Calibri" w:eastAsia="Calibri" w:hAnsi="Calibri"/>
                <w:b/>
                <w:bCs/>
                <w:color w:val="111827"/>
                <w:sz w:val="21"/>
                <w:szCs w:val="21"/>
              </w:rPr>
              <w:t xml:space="preserve">0.0166</w:t>
            </w:r>
          </w:p>
        </w:tc>
      </w:tr>
      <w:tr>
        <w:trPr>
          <w:tblHeader w:val="false"/>
        </w:trPr>
        <w:tc>
          <w:tcPr>
            <w:tcW w:type="dxa" w:w="58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rFonts w:ascii="Calibri" w:cs="Calibri" w:eastAsia="Calibri" w:hAnsi="Calibri"/>
                <w:b w:val="false"/>
                <w:bCs w:val="false"/>
                <w:color w:val="111827"/>
                <w:sz w:val="21"/>
                <w:szCs w:val="21"/>
              </w:rPr>
              <w:t xml:space="preserve">temps_port</w:t>
            </w:r>
          </w:p>
        </w:tc>
        <w:tc>
          <w:tcPr>
            <w:tcW w:type="dxa" w:w="35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center"/>
            </w:pPr>
            <w:r>
              <w:rPr>
                <w:rFonts w:ascii="Calibri" w:cs="Calibri" w:eastAsia="Calibri" w:hAnsi="Calibri"/>
                <w:b/>
                <w:bCs/>
                <w:color w:val="111827"/>
                <w:sz w:val="21"/>
                <w:szCs w:val="21"/>
              </w:rPr>
              <w:t xml:space="preserve">0.0151</w:t>
            </w:r>
          </w:p>
        </w:tc>
      </w:tr>
    </w:tbl>
    <w:p>
      <w:pPr>
        <w:spacing w:after="120"/>
        <w:jc w:val="both"/>
      </w:pPr>
      <w:r>
        <w:rPr>
          <w:rFonts w:ascii="Calibri" w:cs="Calibri" w:eastAsia="Calibri" w:hAnsi="Calibri"/>
          <w:sz w:val="22"/>
          <w:szCs w:val="22"/>
        </w:rPr>
        <w:t xml:space="preserve"/>
      </w:r>
    </w:p>
    <w:p>
      <w:pPr>
        <w:spacing w:after="120"/>
        <w:jc w:val="both"/>
      </w:pPr>
      <w:r>
        <w:rPr>
          <w:rFonts w:ascii="Calibri" w:cs="Calibri" w:eastAsia="Calibri" w:hAnsi="Calibri"/>
          <w:sz w:val="22"/>
          <w:szCs w:val="22"/>
        </w:rPr>
        <w:t xml:space="preserve">Le temps de trajet vers Maarif (cœur économique et commercial historique) ressort très nettement comme la variable la plus structurante pour le prix au m², devant la distance à la voie primaire la plus proche et le nombre de nuisances dans un rayon de 500 m. La taille moyenne des ménages, le temps de trajet vers Casablanca Finance City et le taux d'activité de la zone complètent le top 6, traduisant l'importance conjointe de l'accessibilité, du tissu urbain et du profil socio-démographique.</w:t>
      </w:r>
    </w:p>
    <w:p>
      <w:pPr>
        <w:spacing w:after="60" w:before="160"/>
        <w:jc w:val="center"/>
      </w:pPr>
      <w:r>
        <w:drawing>
          <wp:inline distT="0" distB="0" distL="0" distR="0">
            <wp:extent cx="5334000" cy="3619500"/>
            <wp:effectExtent t="0" r="0" b="0" l="0"/>
            <wp:docPr id="1" name="04_feature_importance_xgb.png" descr="Figure 4. Importance des variables - XGBoost (top 15)." title="Figure 4. Importance des variables - XGBoost (top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619500"/>
                    </a:xfrm>
                    <a:prstGeom prst="rect">
                      <a:avLst/>
                    </a:prstGeom>
                  </pic:spPr>
                </pic:pic>
              </a:graphicData>
            </a:graphic>
          </wp:inline>
        </w:drawing>
      </w:r>
    </w:p>
    <w:p>
      <w:pPr>
        <w:spacing w:after="200"/>
        <w:jc w:val="center"/>
      </w:pPr>
      <w:r>
        <w:rPr>
          <w:rFonts w:ascii="Calibri" w:cs="Calibri" w:eastAsia="Calibri" w:hAnsi="Calibri"/>
          <w:i/>
          <w:iCs/>
          <w:color w:val="374151"/>
          <w:sz w:val="20"/>
          <w:szCs w:val="20"/>
        </w:rPr>
        <w:t xml:space="preserve">Figure 4. Importance des variables - XGBoost (top 15).</w:t>
      </w:r>
    </w:p>
    <w:p>
      <w:pPr>
        <w:pStyle w:val="Heading1"/>
        <w:spacing w:after="160" w:before="320"/>
      </w:pPr>
      <w:r>
        <w:rPr>
          <w:rFonts w:ascii="Calibri" w:cs="Calibri" w:eastAsia="Calibri" w:hAnsi="Calibri"/>
          <w:b/>
          <w:bCs/>
          <w:color w:val="0F4C81"/>
          <w:sz w:val="32"/>
          <w:szCs w:val="32"/>
        </w:rPr>
        <w:t xml:space="preserve">10. Interprétation par SHAP</w:t>
      </w:r>
    </w:p>
    <w:p>
      <w:pPr>
        <w:spacing w:after="120"/>
        <w:jc w:val="both"/>
      </w:pPr>
      <w:r>
        <w:rPr>
          <w:rFonts w:ascii="Calibri" w:cs="Calibri" w:eastAsia="Calibri" w:hAnsi="Calibri"/>
          <w:sz w:val="22"/>
          <w:szCs w:val="22"/>
        </w:rPr>
        <w:t xml:space="preserve">Au-delà du classement global des variables, SHAP (SHapley Additive exPlanations) attribue à chaque variable, pour chaque bien, une contribution positive ou négative à la prédiction. Cette approche, fondée sur la théorie des jeux coopératifs (valeurs de Shapley), est le standard moderne d'explicabilité des modèles d'arbres. Trois usages complémentaires :</w:t>
      </w:r>
    </w:p>
    <w:p>
      <w:pPr>
        <w:pStyle w:val="ListParagraph"/>
        <w:numPr>
          <w:ilvl w:val="0"/>
          <w:numId w:val="2"/>
        </w:numPr>
        <w:spacing w:after="80"/>
      </w:pPr>
      <w:r>
        <w:rPr>
          <w:rFonts w:ascii="Calibri" w:cs="Calibri" w:eastAsia="Calibri" w:hAnsi="Calibri"/>
          <w:b/>
          <w:bCs/>
          <w:sz w:val="22"/>
          <w:szCs w:val="22"/>
        </w:rPr>
        <w:t xml:space="preserve">Bar plot global : </w:t>
      </w:r>
      <w:r>
        <w:rPr>
          <w:rFonts w:ascii="Calibri" w:cs="Calibri" w:eastAsia="Calibri" w:hAnsi="Calibri"/>
          <w:sz w:val="22"/>
          <w:szCs w:val="22"/>
        </w:rPr>
        <w:t xml:space="preserve">moyenne absolue des SHAP values, équivalent à une feature importance théoriquement fondée.</w:t>
      </w:r>
    </w:p>
    <w:p>
      <w:pPr>
        <w:pStyle w:val="ListParagraph"/>
        <w:numPr>
          <w:ilvl w:val="0"/>
          <w:numId w:val="2"/>
        </w:numPr>
        <w:spacing w:after="80"/>
      </w:pPr>
      <w:r>
        <w:rPr>
          <w:rFonts w:ascii="Calibri" w:cs="Calibri" w:eastAsia="Calibri" w:hAnsi="Calibri"/>
          <w:b/>
          <w:bCs/>
          <w:sz w:val="22"/>
          <w:szCs w:val="22"/>
        </w:rPr>
        <w:t xml:space="preserve">Beeswarm plot : </w:t>
      </w:r>
      <w:r>
        <w:rPr>
          <w:rFonts w:ascii="Calibri" w:cs="Calibri" w:eastAsia="Calibri" w:hAnsi="Calibri"/>
          <w:sz w:val="22"/>
          <w:szCs w:val="22"/>
        </w:rPr>
        <w:t xml:space="preserve">pour chaque variable, distribution des contributions individuelles colorée par la valeur de la variable. Permet de visualiser le sens de l'effet (un quartier dense fait monter ou baisser le prix ?).</w:t>
      </w:r>
    </w:p>
    <w:p>
      <w:pPr>
        <w:pStyle w:val="ListParagraph"/>
        <w:numPr>
          <w:ilvl w:val="0"/>
          <w:numId w:val="2"/>
        </w:numPr>
        <w:spacing w:after="80"/>
      </w:pPr>
      <w:r>
        <w:rPr>
          <w:rFonts w:ascii="Calibri" w:cs="Calibri" w:eastAsia="Calibri" w:hAnsi="Calibri"/>
          <w:b/>
          <w:bCs/>
          <w:sz w:val="22"/>
          <w:szCs w:val="22"/>
        </w:rPr>
        <w:t xml:space="preserve">Dependence plot : </w:t>
      </w:r>
      <w:r>
        <w:rPr>
          <w:rFonts w:ascii="Calibri" w:cs="Calibri" w:eastAsia="Calibri" w:hAnsi="Calibri"/>
          <w:sz w:val="22"/>
          <w:szCs w:val="22"/>
        </w:rPr>
        <w:t xml:space="preserve">effet d'une variable sur la prédiction en isolant les interactions avec les autres variables.</w:t>
      </w:r>
    </w:p>
    <w:p>
      <w:pPr>
        <w:spacing w:after="120"/>
        <w:jc w:val="both"/>
      </w:pPr>
      <w:r>
        <w:rPr>
          <w:rFonts w:ascii="Calibri" w:cs="Calibri" w:eastAsia="Calibri" w:hAnsi="Calibri"/>
          <w:sz w:val="22"/>
          <w:szCs w:val="22"/>
        </w:rPr>
        <w:t xml:space="preserve">L'intérêt opérationnel est double : justifier l'estimation auprès d'un client (« votre bien est valorisé X DH/m² parce qu'il est à Y minutes de Maarif et dans une zone à Z % de diplômés du supérieur ») et alimenter la stratégie commerciale (cibler les zones où la valeur est sous-estimée par rapport au profil socio-démographique).</w:t>
      </w:r>
    </w:p>
    <w:p>
      <w:pPr>
        <w:pStyle w:val="Heading1"/>
        <w:spacing w:after="160" w:before="320"/>
      </w:pPr>
      <w:r>
        <w:rPr>
          <w:rFonts w:ascii="Calibri" w:cs="Calibri" w:eastAsia="Calibri" w:hAnsi="Calibri"/>
          <w:b/>
          <w:bCs/>
          <w:color w:val="0F4C81"/>
          <w:sz w:val="32"/>
          <w:szCs w:val="32"/>
        </w:rPr>
        <w:t xml:space="preserve">11. Analyse des prédictions et des résidus</w:t>
      </w:r>
    </w:p>
    <w:p>
      <w:pPr>
        <w:spacing w:after="120"/>
        <w:jc w:val="both"/>
      </w:pPr>
      <w:r>
        <w:rPr>
          <w:rFonts w:ascii="Calibri" w:cs="Calibri" w:eastAsia="Calibri" w:hAnsi="Calibri"/>
          <w:sz w:val="22"/>
          <w:szCs w:val="22"/>
        </w:rPr>
        <w:t xml:space="preserve">Pour le modèle retenu (XGBoost), les prédictions sur le set de test sont confrontées aux valeurs réelles. Le nuage de points (figure 5, gauche) doit s'aligner sur la diagonale rouge pour signaler des estimations non biaisées. La distribution des résidus (figure 5, droite) doit rester symétrique autour de zéro et homoscédastique (variance stable selon le niveau de prix).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4"/>
              <w:left w:val="single" w:color="D1D5DB" w:sz="4"/>
              <w:bottom w:val="single" w:color="D1D5DB" w:sz="4"/>
              <w:right w:val="single" w:color="D1D5DB" w:sz="4"/>
            </w:tcBorders>
            <w:shd w:fill="0F4C81"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Indicateur</w:t>
            </w:r>
          </w:p>
        </w:tc>
        <w:tc>
          <w:tcPr>
            <w:tcW w:type="dxa" w:w="4680"/>
            <w:tcBorders>
              <w:top w:val="single" w:color="D1D5DB" w:sz="4"/>
              <w:left w:val="single" w:color="D1D5DB" w:sz="4"/>
              <w:bottom w:val="single" w:color="D1D5DB" w:sz="4"/>
              <w:right w:val="single" w:color="D1D5DB" w:sz="4"/>
            </w:tcBorders>
            <w:shd w:fill="0F4C81" w:val="clear"/>
            <w:tcMar>
              <w:top w:type="dxa" w:w="100"/>
              <w:left w:type="dxa" w:w="140"/>
              <w:bottom w:type="dxa" w:w="100"/>
              <w:right w:type="dxa" w:w="140"/>
            </w:tcMar>
          </w:tcPr>
          <w:p>
            <w:pPr>
              <w:jc w:val="center"/>
            </w:pPr>
            <w:r>
              <w:rPr>
                <w:rFonts w:ascii="Calibri" w:cs="Calibri" w:eastAsia="Calibri" w:hAnsi="Calibri"/>
                <w:b/>
                <w:bCs/>
                <w:color w:val="FFFFFF"/>
                <w:sz w:val="21"/>
                <w:szCs w:val="21"/>
              </w:rPr>
              <w:t xml:space="preserve">Valeur (DH/m²)</w:t>
            </w:r>
          </w:p>
        </w:tc>
      </w:tr>
      <w:tr>
        <w:trPr>
          <w:tblHeader w:val="false"/>
        </w:trPr>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rFonts w:ascii="Calibri" w:cs="Calibri" w:eastAsia="Calibri" w:hAnsi="Calibri"/>
                <w:b w:val="false"/>
                <w:bCs w:val="false"/>
                <w:color w:val="111827"/>
                <w:sz w:val="21"/>
                <w:szCs w:val="21"/>
              </w:rPr>
              <w:t xml:space="preserve">Moyenne des résidus</w:t>
            </w:r>
          </w:p>
        </w:tc>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center"/>
            </w:pPr>
            <w:r>
              <w:rPr>
                <w:rFonts w:ascii="Calibri" w:cs="Calibri" w:eastAsia="Calibri" w:hAnsi="Calibri"/>
                <w:b w:val="false"/>
                <w:bCs w:val="false"/>
                <w:color w:val="111827"/>
                <w:sz w:val="21"/>
                <w:szCs w:val="21"/>
              </w:rPr>
              <w:t xml:space="preserve">83</w:t>
            </w:r>
          </w:p>
        </w:tc>
      </w:tr>
      <w:tr>
        <w:trPr>
          <w:tblHeader w:val="false"/>
        </w:trPr>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rFonts w:ascii="Calibri" w:cs="Calibri" w:eastAsia="Calibri" w:hAnsi="Calibri"/>
                <w:b w:val="false"/>
                <w:bCs w:val="false"/>
                <w:color w:val="111827"/>
                <w:sz w:val="21"/>
                <w:szCs w:val="21"/>
              </w:rPr>
              <w:t xml:space="preserve">Écart-type des résidus</w:t>
            </w:r>
          </w:p>
        </w:tc>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center"/>
            </w:pPr>
            <w:r>
              <w:rPr>
                <w:rFonts w:ascii="Calibri" w:cs="Calibri" w:eastAsia="Calibri" w:hAnsi="Calibri"/>
                <w:b w:val="false"/>
                <w:bCs w:val="false"/>
                <w:color w:val="111827"/>
                <w:sz w:val="21"/>
                <w:szCs w:val="21"/>
              </w:rPr>
              <w:t xml:space="preserve">3 436</w:t>
            </w:r>
          </w:p>
        </w:tc>
      </w:tr>
      <w:tr>
        <w:trPr>
          <w:tblHeader w:val="false"/>
        </w:trPr>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rFonts w:ascii="Calibri" w:cs="Calibri" w:eastAsia="Calibri" w:hAnsi="Calibri"/>
                <w:b w:val="false"/>
                <w:bCs w:val="false"/>
                <w:color w:val="111827"/>
                <w:sz w:val="21"/>
                <w:szCs w:val="21"/>
              </w:rPr>
              <w:t xml:space="preserve">Médiane (P50)</w:t>
            </w:r>
          </w:p>
        </w:tc>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center"/>
            </w:pPr>
            <w:r>
              <w:rPr>
                <w:rFonts w:ascii="Calibri" w:cs="Calibri" w:eastAsia="Calibri" w:hAnsi="Calibri"/>
                <w:b w:val="false"/>
                <w:bCs w:val="false"/>
                <w:color w:val="111827"/>
                <w:sz w:val="21"/>
                <w:szCs w:val="21"/>
              </w:rPr>
              <w:t xml:space="preserve">17</w:t>
            </w:r>
          </w:p>
        </w:tc>
      </w:tr>
      <w:tr>
        <w:trPr>
          <w:tblHeader w:val="false"/>
        </w:trPr>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rFonts w:ascii="Calibri" w:cs="Calibri" w:eastAsia="Calibri" w:hAnsi="Calibri"/>
                <w:b w:val="false"/>
                <w:bCs w:val="false"/>
                <w:color w:val="111827"/>
                <w:sz w:val="21"/>
                <w:szCs w:val="21"/>
              </w:rPr>
              <w:t xml:space="preserve">Quartiles Q1 / Q3</w:t>
            </w:r>
          </w:p>
        </w:tc>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center"/>
            </w:pPr>
            <w:r>
              <w:rPr>
                <w:rFonts w:ascii="Calibri" w:cs="Calibri" w:eastAsia="Calibri" w:hAnsi="Calibri"/>
                <w:b w:val="false"/>
                <w:bCs w:val="false"/>
                <w:color w:val="111827"/>
                <w:sz w:val="21"/>
                <w:szCs w:val="21"/>
              </w:rPr>
              <w:t xml:space="preserve">-1 085  /  1 204</w:t>
            </w:r>
          </w:p>
        </w:tc>
      </w:tr>
      <w:tr>
        <w:trPr>
          <w:tblHeader w:val="false"/>
        </w:trPr>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rFonts w:ascii="Calibri" w:cs="Calibri" w:eastAsia="Calibri" w:hAnsi="Calibri"/>
                <w:b w:val="false"/>
                <w:bCs w:val="false"/>
                <w:color w:val="111827"/>
                <w:sz w:val="21"/>
                <w:szCs w:val="21"/>
              </w:rPr>
              <w:t xml:space="preserve">Min / Max</w:t>
            </w:r>
          </w:p>
        </w:tc>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center"/>
            </w:pPr>
            <w:r>
              <w:rPr>
                <w:rFonts w:ascii="Calibri" w:cs="Calibri" w:eastAsia="Calibri" w:hAnsi="Calibri"/>
                <w:b w:val="false"/>
                <w:bCs w:val="false"/>
                <w:color w:val="111827"/>
                <w:sz w:val="21"/>
                <w:szCs w:val="21"/>
              </w:rPr>
              <w:t xml:space="preserve">-16 964  /  15 673</w:t>
            </w:r>
          </w:p>
        </w:tc>
      </w:tr>
      <w:tr>
        <w:trPr>
          <w:tblHeader w:val="false"/>
        </w:trPr>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rFonts w:ascii="Calibri" w:cs="Calibri" w:eastAsia="Calibri" w:hAnsi="Calibri"/>
                <w:b w:val="false"/>
                <w:bCs w:val="false"/>
                <w:color w:val="111827"/>
                <w:sz w:val="21"/>
                <w:szCs w:val="21"/>
              </w:rPr>
              <w:t xml:space="preserve">Erreur relative moyenne (MAPE)</w:t>
            </w:r>
          </w:p>
        </w:tc>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center"/>
            </w:pPr>
            <w:r>
              <w:rPr>
                <w:rFonts w:ascii="Calibri" w:cs="Calibri" w:eastAsia="Calibri" w:hAnsi="Calibri"/>
                <w:b/>
                <w:bCs/>
                <w:color w:val="0F4C81"/>
                <w:sz w:val="21"/>
                <w:szCs w:val="21"/>
              </w:rPr>
              <w:t xml:space="preserve">18.2 %</w:t>
            </w:r>
          </w:p>
        </w:tc>
      </w:tr>
    </w:tbl>
    <w:p>
      <w:pPr>
        <w:spacing w:after="120"/>
        <w:jc w:val="both"/>
      </w:pPr>
      <w:r>
        <w:rPr>
          <w:rFonts w:ascii="Calibri" w:cs="Calibri" w:eastAsia="Calibri" w:hAnsi="Calibri"/>
          <w:sz w:val="22"/>
          <w:szCs w:val="22"/>
        </w:rPr>
        <w:t xml:space="preserve"/>
      </w:r>
    </w:p>
    <w:p>
      <w:pPr>
        <w:spacing w:after="120"/>
        <w:jc w:val="both"/>
      </w:pPr>
      <w:r>
        <w:rPr>
          <w:rFonts w:ascii="Calibri" w:cs="Calibri" w:eastAsia="Calibri" w:hAnsi="Calibri"/>
          <w:sz w:val="22"/>
          <w:szCs w:val="22"/>
        </w:rPr>
        <w:t xml:space="preserve">La moyenne des résidus est très proche de zéro (83 DH/m²), ce qui signale un modèle non biaisé en moyenne. La médiane des résidus (17 DH/m²) confirme ce centrage. Cinquante pour cent des prédictions tombent dans une fourchette de -1 085 à +1 204 DH/m² autour de la valeur réelle. L'erreur relative moyenne (MAPE) est de 18.2 %, ce qui correspond à une précision usuelle pour ce type de marché immobilier hétérogène.</w:t>
      </w:r>
    </w:p>
    <w:p>
      <w:pPr>
        <w:spacing w:after="60" w:before="160"/>
        <w:jc w:val="center"/>
      </w:pPr>
      <w:r>
        <w:drawing>
          <wp:inline distT="0" distB="0" distL="0" distR="0">
            <wp:extent cx="5334000" cy="2286000"/>
            <wp:effectExtent t="0" r="0" b="0" l="0"/>
            <wp:docPr id="1" name="05_pred_vs_reel_residus.png" descr="Figure 5. Prédictions vs valeurs réelles (gauche) et résidus (droite) - XGBoost." title="Figure 5. Prédictions vs valeurs réelles (gauche) et résidus (droite) - XGBo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286000"/>
                    </a:xfrm>
                    <a:prstGeom prst="rect">
                      <a:avLst/>
                    </a:prstGeom>
                  </pic:spPr>
                </pic:pic>
              </a:graphicData>
            </a:graphic>
          </wp:inline>
        </w:drawing>
      </w:r>
    </w:p>
    <w:p>
      <w:pPr>
        <w:spacing w:after="200"/>
        <w:jc w:val="center"/>
      </w:pPr>
      <w:r>
        <w:rPr>
          <w:rFonts w:ascii="Calibri" w:cs="Calibri" w:eastAsia="Calibri" w:hAnsi="Calibri"/>
          <w:i/>
          <w:iCs/>
          <w:color w:val="374151"/>
          <w:sz w:val="20"/>
          <w:szCs w:val="20"/>
        </w:rPr>
        <w:t xml:space="preserve">Figure 5. Prédictions vs valeurs réelles (gauche) et résidus (droite) - XGBoost.</w:t>
      </w:r>
    </w:p>
    <w:p>
      <w:pPr>
        <w:pStyle w:val="Heading1"/>
        <w:spacing w:after="160" w:before="320"/>
      </w:pPr>
      <w:r>
        <w:rPr>
          <w:rFonts w:ascii="Calibri" w:cs="Calibri" w:eastAsia="Calibri" w:hAnsi="Calibri"/>
          <w:b/>
          <w:bCs/>
          <w:color w:val="0F4C81"/>
          <w:sz w:val="32"/>
          <w:szCs w:val="32"/>
        </w:rPr>
        <w:t xml:space="preserve">12. Limites et pistes d'amélioration</w:t>
      </w:r>
    </w:p>
    <w:p>
      <w:pPr>
        <w:spacing w:after="120"/>
        <w:jc w:val="both"/>
      </w:pPr>
      <w:r>
        <w:rPr>
          <w:rFonts w:ascii="Calibri" w:cs="Calibri" w:eastAsia="Calibri" w:hAnsi="Calibri"/>
          <w:sz w:val="22"/>
          <w:szCs w:val="22"/>
        </w:rPr>
        <w:t xml:space="preserve">Le modèle actuel offre un compromis satisfaisant entre précision et interprétabilité, mais plusieurs axes peuvent encore le faire progresser :</w:t>
      </w:r>
    </w:p>
    <w:p>
      <w:pPr>
        <w:pStyle w:val="ListParagraph"/>
        <w:numPr>
          <w:ilvl w:val="0"/>
          <w:numId w:val="2"/>
        </w:numPr>
        <w:spacing w:after="80"/>
      </w:pPr>
      <w:r>
        <w:rPr>
          <w:rFonts w:ascii="Calibri" w:cs="Calibri" w:eastAsia="Calibri" w:hAnsi="Calibri"/>
          <w:b/>
          <w:bCs/>
          <w:sz w:val="22"/>
          <w:szCs w:val="22"/>
        </w:rPr>
        <w:t xml:space="preserve">Tuning d'hyperparamètres </w:t>
      </w:r>
      <w:r>
        <w:rPr>
          <w:rFonts w:ascii="Calibri" w:cs="Calibri" w:eastAsia="Calibri" w:hAnsi="Calibri"/>
          <w:sz w:val="22"/>
          <w:szCs w:val="22"/>
        </w:rPr>
        <w:t xml:space="preserve">via RandomizedSearchCV ou Optuna (l'écart Train-Test laisse de la marge pour optimiser la régularisation).</w:t>
      </w:r>
    </w:p>
    <w:p>
      <w:pPr>
        <w:pStyle w:val="ListParagraph"/>
        <w:numPr>
          <w:ilvl w:val="0"/>
          <w:numId w:val="2"/>
        </w:numPr>
        <w:spacing w:after="80"/>
      </w:pPr>
      <w:r>
        <w:rPr>
          <w:rFonts w:ascii="Calibri" w:cs="Calibri" w:eastAsia="Calibri" w:hAnsi="Calibri"/>
          <w:b/>
          <w:bCs/>
          <w:sz w:val="22"/>
          <w:szCs w:val="22"/>
        </w:rPr>
        <w:t xml:space="preserve">Cross-validation k-fold </w:t>
      </w:r>
      <w:r>
        <w:rPr>
          <w:rFonts w:ascii="Calibri" w:cs="Calibri" w:eastAsia="Calibri" w:hAnsi="Calibri"/>
          <w:sz w:val="22"/>
          <w:szCs w:val="22"/>
        </w:rPr>
        <w:t xml:space="preserve">pour des métriques plus stables qu'un unique split 80/20.</w:t>
      </w:r>
    </w:p>
    <w:p>
      <w:pPr>
        <w:pStyle w:val="ListParagraph"/>
        <w:numPr>
          <w:ilvl w:val="0"/>
          <w:numId w:val="2"/>
        </w:numPr>
        <w:spacing w:after="80"/>
      </w:pPr>
      <w:r>
        <w:rPr>
          <w:rFonts w:ascii="Calibri" w:cs="Calibri" w:eastAsia="Calibri" w:hAnsi="Calibri"/>
          <w:b/>
          <w:bCs/>
          <w:sz w:val="22"/>
          <w:szCs w:val="22"/>
        </w:rPr>
        <w:t xml:space="preserve">Validation géographique </w:t>
      </w:r>
      <w:r>
        <w:rPr>
          <w:rFonts w:ascii="Calibri" w:cs="Calibri" w:eastAsia="Calibri" w:hAnsi="Calibri"/>
          <w:sz w:val="22"/>
          <w:szCs w:val="22"/>
        </w:rPr>
        <w:t xml:space="preserve">en partitionnant par arrondissement plutôt qu'aléatoirement, pour mesurer la généralisation à de nouvelles zones non représentées dans le train.</w:t>
      </w:r>
    </w:p>
    <w:p>
      <w:pPr>
        <w:pStyle w:val="ListParagraph"/>
        <w:numPr>
          <w:ilvl w:val="0"/>
          <w:numId w:val="2"/>
        </w:numPr>
        <w:spacing w:after="80"/>
      </w:pPr>
      <w:r>
        <w:rPr>
          <w:rFonts w:ascii="Calibri" w:cs="Calibri" w:eastAsia="Calibri" w:hAnsi="Calibri"/>
          <w:b/>
          <w:bCs/>
          <w:sz w:val="22"/>
          <w:szCs w:val="22"/>
        </w:rPr>
        <w:t xml:space="preserve">Log-transformation de la cible </w:t>
      </w:r>
      <w:r>
        <w:rPr>
          <w:rFonts w:ascii="Calibri" w:cs="Calibri" w:eastAsia="Calibri" w:hAnsi="Calibri"/>
          <w:sz w:val="22"/>
          <w:szCs w:val="22"/>
        </w:rPr>
        <w:t xml:space="preserve">pour atténuer l'asymétrie à droite et le poids des biens d'exception sur le RMSE.</w:t>
      </w:r>
    </w:p>
    <w:p>
      <w:pPr>
        <w:pStyle w:val="ListParagraph"/>
        <w:numPr>
          <w:ilvl w:val="0"/>
          <w:numId w:val="2"/>
        </w:numPr>
        <w:spacing w:after="80"/>
      </w:pPr>
      <w:r>
        <w:rPr>
          <w:rFonts w:ascii="Calibri" w:cs="Calibri" w:eastAsia="Calibri" w:hAnsi="Calibri"/>
          <w:b/>
          <w:bCs/>
          <w:sz w:val="22"/>
          <w:szCs w:val="22"/>
        </w:rPr>
        <w:t xml:space="preserve">Feature engineering </w:t>
      </w:r>
      <w:r>
        <w:rPr>
          <w:rFonts w:ascii="Calibri" w:cs="Calibri" w:eastAsia="Calibri" w:hAnsi="Calibri"/>
          <w:sz w:val="22"/>
          <w:szCs w:val="22"/>
        </w:rPr>
        <w:t xml:space="preserve">avec des variables d'interaction (par ex. distance mer × densité commerciale), des ratios POI / surface verte, ou une discrétisation des distances en buckets significatifs.</w:t>
      </w:r>
    </w:p>
    <w:p>
      <w:pPr>
        <w:pStyle w:val="ListParagraph"/>
        <w:numPr>
          <w:ilvl w:val="0"/>
          <w:numId w:val="2"/>
        </w:numPr>
        <w:spacing w:after="80"/>
      </w:pPr>
      <w:r>
        <w:rPr>
          <w:rFonts w:ascii="Calibri" w:cs="Calibri" w:eastAsia="Calibri" w:hAnsi="Calibri"/>
          <w:b/>
          <w:bCs/>
          <w:sz w:val="22"/>
          <w:szCs w:val="22"/>
        </w:rPr>
        <w:t xml:space="preserve">Stacking / blending </w:t>
      </w:r>
      <w:r>
        <w:rPr>
          <w:rFonts w:ascii="Calibri" w:cs="Calibri" w:eastAsia="Calibri" w:hAnsi="Calibri"/>
          <w:sz w:val="22"/>
          <w:szCs w:val="22"/>
        </w:rPr>
        <w:t xml:space="preserve">des meilleurs modèles (XGBoost + Random Forest + CatBoost) pour gagner quelques points supplémentaires de R².</w:t>
      </w:r>
    </w:p>
    <w:p>
      <w:pPr>
        <w:pStyle w:val="ListParagraph"/>
        <w:numPr>
          <w:ilvl w:val="0"/>
          <w:numId w:val="2"/>
        </w:numPr>
        <w:spacing w:after="80"/>
      </w:pPr>
      <w:r>
        <w:rPr>
          <w:rFonts w:ascii="Calibri" w:cs="Calibri" w:eastAsia="Calibri" w:hAnsi="Calibri"/>
          <w:b/>
          <w:bCs/>
          <w:sz w:val="22"/>
          <w:szCs w:val="22"/>
        </w:rPr>
        <w:t xml:space="preserve">Couplage avec le clustering géomarketing : </w:t>
      </w:r>
      <w:r>
        <w:rPr>
          <w:rFonts w:ascii="Calibri" w:cs="Calibri" w:eastAsia="Calibri" w:hAnsi="Calibri"/>
          <w:sz w:val="22"/>
          <w:szCs w:val="22"/>
        </w:rPr>
        <w:t xml:space="preserve">entraîner un modèle par segment urbain (centre, périphérie résidentielle, zones d'activité) pour capturer les spécificités locales.</w:t>
      </w:r>
    </w:p>
    <w:p>
      <w:pPr>
        <w:pStyle w:val="ListParagraph"/>
        <w:numPr>
          <w:ilvl w:val="0"/>
          <w:numId w:val="2"/>
        </w:numPr>
        <w:spacing w:after="80"/>
      </w:pPr>
      <w:r>
        <w:rPr>
          <w:rFonts w:ascii="Calibri" w:cs="Calibri" w:eastAsia="Calibri" w:hAnsi="Calibri"/>
          <w:b/>
          <w:bCs/>
          <w:sz w:val="22"/>
          <w:szCs w:val="22"/>
        </w:rPr>
        <w:t xml:space="preserve">Enrichissement temporel : </w:t>
      </w:r>
      <w:r>
        <w:rPr>
          <w:rFonts w:ascii="Calibri" w:cs="Calibri" w:eastAsia="Calibri" w:hAnsi="Calibri"/>
          <w:sz w:val="22"/>
          <w:szCs w:val="22"/>
        </w:rPr>
        <w:t xml:space="preserve">intégrer la date de transaction et un effet d'inflation locale pour suivre la dynamique des prix sur plusieurs années.</w:t>
      </w:r>
    </w:p>
    <w:p>
      <w:pPr>
        <w:pStyle w:val="Heading1"/>
        <w:spacing w:after="160" w:before="320"/>
      </w:pPr>
      <w:r>
        <w:rPr>
          <w:rFonts w:ascii="Calibri" w:cs="Calibri" w:eastAsia="Calibri" w:hAnsi="Calibri"/>
          <w:b/>
          <w:bCs/>
          <w:color w:val="0F4C81"/>
          <w:sz w:val="32"/>
          <w:szCs w:val="32"/>
        </w:rPr>
        <w:t xml:space="preserve">13. Conclusion</w:t>
      </w:r>
    </w:p>
    <w:p>
      <w:pPr>
        <w:spacing w:after="120"/>
        <w:jc w:val="both"/>
      </w:pPr>
      <w:r>
        <w:rPr>
          <w:rFonts w:ascii="Calibri" w:cs="Calibri" w:eastAsia="Calibri" w:hAnsi="Calibri"/>
          <w:sz w:val="22"/>
          <w:szCs w:val="22"/>
        </w:rPr>
        <w:t xml:space="preserve">À l'issue de la démarche, le modèle XGBoost a été retenu pour estimer le prix au m² des biens immobiliers de Casablanca. Sur un set de test indépendant de 296 transactions, il atteint un R² de 0.721, soit 72.1 % de la variance du prix expliquée, avec une erreur absolue moyenne de 2 033 DH/m² (≈ 18.2 % d'erreur relative moyenne).</w:t>
      </w:r>
    </w:p>
    <w:p>
      <w:pPr>
        <w:spacing w:after="120"/>
        <w:jc w:val="both"/>
      </w:pPr>
      <w:r>
        <w:rPr>
          <w:rFonts w:ascii="Calibri" w:cs="Calibri" w:eastAsia="Calibri" w:hAnsi="Calibri"/>
          <w:sz w:val="22"/>
          <w:szCs w:val="22"/>
        </w:rPr>
        <w:t xml:space="preserve">Au-delà de la performance brute, l'analyse des variables met en évidence les leviers majeurs de la valeur foncière à Casablanca : l'accessibilité au cœur économique (Maarif, Casablanca Finance City), la proximité du réseau routier primaire, l'environnement commercial et bancaire, et le profil socio-démographique de la zone (taux d'activité, part de diplômés du supérieur, taille des ménages). Ces résultats sont directement exploitables pour le pricing, le sourcing d'opportunités d'investissement et la communication client.</w:t>
      </w:r>
    </w:p>
    <w:p>
      <w:pPr>
        <w:spacing w:after="120"/>
        <w:jc w:val="both"/>
      </w:pPr>
      <w:r>
        <w:rPr>
          <w:rFonts w:ascii="Calibri" w:cs="Calibri" w:eastAsia="Calibri" w:hAnsi="Calibri"/>
          <w:sz w:val="22"/>
          <w:szCs w:val="22"/>
        </w:rPr>
        <w:t xml:space="preserve">Le pipeline est packagé sous forme de modèle, scaler et encodeurs sérialisés (.pkl), accompagnés d'une fonction predict_price() prête à être intégrée dans une API REST ou une application Streamlit. Les pistes d'amélioration listées au chapitre précédent permettront d'itérer sur la qualité du modèle au fur et à mesure que de nouvelles transactions et variables seront disponibles.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8"/>
        <w:szCs w:val="18"/>
      </w:rPr>
      <w:t xml:space="preserve">Page </w:t>
    </w:r>
    <w:r>
      <w:rPr>
        <w:rFonts w:ascii="Calibri" w:cs="Calibri" w:eastAsia="Calibri" w:hAnsi="Calibri"/>
        <w:color w:val="6B7280"/>
        <w:sz w:val="18"/>
        <w:szCs w:val="18"/>
      </w:rPr>
      <w:fldChar w:fldCharType="begin"/>
      <w:instrText xml:space="preserve">PAGE</w:instrText>
      <w:fldChar w:fldCharType="separate"/>
      <w:fldChar w:fldCharType="end"/>
    </w:r>
    <w:r>
      <w:rPr>
        <w:rFonts w:ascii="Calibri" w:cs="Calibri" w:eastAsia="Calibri" w:hAnsi="Calibri"/>
        <w:color w:val="6B7280"/>
        <w:sz w:val="18"/>
        <w:szCs w:val="18"/>
      </w:rPr>
      <w:t xml:space="preserve"> / </w:t>
    </w:r>
    <w:r>
      <w:rPr>
        <w:rFonts w:ascii="Calibri" w:cs="Calibri" w:eastAsia="Calibri" w:hAnsi="Calibri"/>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B7280"/>
        <w:sz w:val="18"/>
        <w:szCs w:val="18"/>
      </w:rPr>
      <w:t xml:space="preserve">Estimation prix au m² - Casablanca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0F4C81"/>
      <w:sz w:val="32"/>
      <w:szCs w:val="32"/>
    </w:rPr>
  </w:style>
  <w:style w:type="paragraph" w:styleId="Heading2">
    <w:name w:val="Heading 2"/>
    <w:basedOn w:val="Normal"/>
    <w:next w:val="Normal"/>
    <w:qFormat/>
    <w:pPr>
      <w:spacing w:after="120" w:before="200"/>
      <w:outlineLvl w:val="1"/>
    </w:pPr>
    <w:rPr>
      <w:rFonts w:ascii="Calibri" w:cs="Calibri" w:eastAsia="Calibri" w:hAnsi="Calibri"/>
      <w:b/>
      <w:bCs/>
      <w:color w:val="0F4C81"/>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1F293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c5944f880d56c307018c29735d53862c85653d4.png"/><Relationship Id="rId10" Type="http://schemas.openxmlformats.org/officeDocument/2006/relationships/image" Target="media/a4ff012148f61b03c0357f004af4051526e2e745.png"/><Relationship Id="rId11" Type="http://schemas.openxmlformats.org/officeDocument/2006/relationships/image" Target="media/a8869231d805c033af52a88ecdd1d8bfafe98f0a.png"/><Relationship Id="rId12" Type="http://schemas.openxmlformats.org/officeDocument/2006/relationships/image" Target="media/6de8a7dde4383d3474ceee0b89355dcb08875294.png"/><Relationship Id="rId13" Type="http://schemas.openxmlformats.org/officeDocument/2006/relationships/image" Target="media/ab71d902b540e0aa23403d56aac22a119e8ad995.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 Estimation prix au m²</dc:title>
  <dc:creator>Elwafi</dc:creator>
  <cp:lastModifiedBy>Un-named</cp:lastModifiedBy>
  <cp:revision>1</cp:revision>
  <dcterms:created xsi:type="dcterms:W3CDTF">2026-05-07T09:26:50.840Z</dcterms:created>
  <dcterms:modified xsi:type="dcterms:W3CDTF">2026-05-07T09:26:50.840Z</dcterms:modified>
</cp:coreProperties>
</file>

<file path=docProps/custom.xml><?xml version="1.0" encoding="utf-8"?>
<Properties xmlns="http://schemas.openxmlformats.org/officeDocument/2006/custom-properties" xmlns:vt="http://schemas.openxmlformats.org/officeDocument/2006/docPropsVTypes"/>
</file>