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39D546" w14:textId="77777777" w:rsidR="006E64CE" w:rsidRDefault="006E64CE" w:rsidP="006E64CE">
      <w:pPr>
        <w:jc w:val="center"/>
        <w:rPr>
          <w:rFonts w:ascii="Calibri" w:eastAsia="Calibri" w:hAnsi="Calibri" w:cs="Calibri"/>
          <w:color w:val="000000" w:themeColor="text1"/>
          <w:sz w:val="24"/>
          <w:szCs w:val="24"/>
          <w:lang w:val="en-US"/>
        </w:rPr>
      </w:pPr>
      <w:r>
        <w:rPr>
          <w:noProof/>
        </w:rPr>
        <w:drawing>
          <wp:inline distT="0" distB="0" distL="0" distR="0" wp14:anchorId="1F35F5C4" wp14:editId="74223385">
            <wp:extent cx="4295775" cy="1057275"/>
            <wp:effectExtent l="0" t="0" r="0" b="0"/>
            <wp:docPr id="1190266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66607" name="Picture 1190266607"/>
                    <pic:cNvPicPr/>
                  </pic:nvPicPr>
                  <pic:blipFill>
                    <a:blip r:embed="rId5">
                      <a:extLst>
                        <a:ext uri="{28A0092B-C50C-407E-A947-70E740481C1C}">
                          <a14:useLocalDpi xmlns:a14="http://schemas.microsoft.com/office/drawing/2010/main"/>
                        </a:ext>
                      </a:extLst>
                    </a:blip>
                    <a:stretch>
                      <a:fillRect/>
                    </a:stretch>
                  </pic:blipFill>
                  <pic:spPr>
                    <a:xfrm>
                      <a:off x="0" y="0"/>
                      <a:ext cx="4295775" cy="1057275"/>
                    </a:xfrm>
                    <a:prstGeom prst="rect">
                      <a:avLst/>
                    </a:prstGeom>
                  </pic:spPr>
                </pic:pic>
              </a:graphicData>
            </a:graphic>
          </wp:inline>
        </w:drawing>
      </w:r>
    </w:p>
    <w:p w14:paraId="7CAA421B" w14:textId="77777777" w:rsidR="006E64CE" w:rsidRDefault="006E64CE" w:rsidP="006E64CE">
      <w:pPr>
        <w:jc w:val="center"/>
        <w:rPr>
          <w:rFonts w:ascii="Calibri" w:eastAsia="Calibri" w:hAnsi="Calibri" w:cs="Calibri"/>
          <w:color w:val="000000" w:themeColor="text1"/>
          <w:sz w:val="24"/>
          <w:szCs w:val="24"/>
          <w:lang w:val="en-US"/>
        </w:rPr>
      </w:pPr>
    </w:p>
    <w:p w14:paraId="4A23B633" w14:textId="77777777" w:rsidR="006E64CE" w:rsidRDefault="006E64CE" w:rsidP="006E64CE">
      <w:pPr>
        <w:jc w:val="center"/>
        <w:rPr>
          <w:rFonts w:ascii="Calibri" w:eastAsia="Calibri" w:hAnsi="Calibri" w:cs="Calibri"/>
          <w:color w:val="000000" w:themeColor="text1"/>
          <w:sz w:val="24"/>
          <w:szCs w:val="24"/>
          <w:lang w:val="en-US"/>
        </w:rPr>
      </w:pPr>
    </w:p>
    <w:p w14:paraId="43B78E16" w14:textId="09F9E4EA" w:rsidR="006E64CE" w:rsidRPr="006E64CE" w:rsidRDefault="006E64CE" w:rsidP="006E64CE">
      <w:pPr>
        <w:pStyle w:val="Title"/>
        <w:jc w:val="center"/>
        <w:rPr>
          <w:rFonts w:ascii="Bookman Old Style" w:eastAsia="Aptos Display" w:hAnsi="Bookman Old Style" w:cs="Aptos Display"/>
          <w:color w:val="000000" w:themeColor="text1"/>
          <w:lang w:val="es-ES"/>
        </w:rPr>
      </w:pPr>
      <w:r>
        <w:rPr>
          <w:rFonts w:ascii="Bookman Old Style" w:eastAsia="Aptos Display" w:hAnsi="Bookman Old Style" w:cs="Aptos Display"/>
          <w:color w:val="000000" w:themeColor="text1"/>
          <w:lang w:val="es-DO"/>
        </w:rPr>
        <w:t>UrbanSync</w:t>
      </w:r>
    </w:p>
    <w:p w14:paraId="73BF4B9A" w14:textId="1013AD7C" w:rsidR="006E64CE" w:rsidRPr="006E64CE" w:rsidRDefault="006E64CE" w:rsidP="006E64CE">
      <w:pPr>
        <w:jc w:val="center"/>
        <w:rPr>
          <w:rFonts w:ascii="Bookman Old Style" w:hAnsi="Bookman Old Style"/>
          <w:color w:val="000000" w:themeColor="text1"/>
        </w:rPr>
      </w:pPr>
      <w:r w:rsidRPr="006E64CE">
        <w:rPr>
          <w:rFonts w:ascii="Bookman Old Style" w:hAnsi="Bookman Old Style"/>
          <w:color w:val="000000" w:themeColor="text1"/>
          <w:sz w:val="28"/>
          <w:szCs w:val="28"/>
          <w:lang w:val="es-DO"/>
        </w:rPr>
        <w:t>Sincronizando el futuro de nuestras ciudades.</w:t>
      </w:r>
    </w:p>
    <w:p w14:paraId="0CC45ACB" w14:textId="77777777" w:rsidR="006E64CE" w:rsidRPr="006E64CE" w:rsidRDefault="006E64CE" w:rsidP="006E64CE">
      <w:pPr>
        <w:spacing w:after="120" w:line="259" w:lineRule="auto"/>
        <w:jc w:val="center"/>
        <w:rPr>
          <w:rFonts w:ascii="Bookman Old Style" w:hAnsi="Bookman Old Style"/>
          <w:color w:val="000000" w:themeColor="text1"/>
          <w:sz w:val="26"/>
          <w:szCs w:val="26"/>
          <w:lang w:val="es-ES"/>
        </w:rPr>
      </w:pPr>
      <w:r w:rsidRPr="006E64CE">
        <w:rPr>
          <w:rFonts w:ascii="Bookman Old Style" w:hAnsi="Bookman Old Style"/>
          <w:b/>
          <w:bCs/>
          <w:color w:val="000000" w:themeColor="text1"/>
          <w:sz w:val="26"/>
          <w:szCs w:val="26"/>
          <w:lang w:val="es-DO"/>
        </w:rPr>
        <w:t>Asignatura</w:t>
      </w:r>
    </w:p>
    <w:p w14:paraId="63DBDD5C" w14:textId="77777777" w:rsidR="006E64CE" w:rsidRPr="006E64CE" w:rsidRDefault="006E64CE" w:rsidP="006E64CE">
      <w:pPr>
        <w:jc w:val="center"/>
        <w:rPr>
          <w:rFonts w:ascii="Bookman Old Style" w:hAnsi="Bookman Old Style"/>
          <w:color w:val="000000" w:themeColor="text1"/>
          <w:sz w:val="24"/>
          <w:szCs w:val="24"/>
          <w:lang w:val="es-ES"/>
        </w:rPr>
      </w:pPr>
      <w:r w:rsidRPr="006E64CE">
        <w:rPr>
          <w:rFonts w:ascii="Bookman Old Style" w:hAnsi="Bookman Old Style"/>
          <w:color w:val="000000" w:themeColor="text1"/>
          <w:sz w:val="24"/>
          <w:szCs w:val="24"/>
          <w:lang w:val="es-DO"/>
        </w:rPr>
        <w:t>ISO-615 - Desarrollo de software con tecnologías propietarias y open source I.</w:t>
      </w:r>
    </w:p>
    <w:p w14:paraId="04C7F46F" w14:textId="77777777" w:rsidR="006E64CE" w:rsidRPr="006E64CE" w:rsidRDefault="006E64CE" w:rsidP="006E64CE">
      <w:pPr>
        <w:spacing w:after="120"/>
        <w:jc w:val="center"/>
        <w:rPr>
          <w:rFonts w:ascii="Bookman Old Style" w:hAnsi="Bookman Old Style"/>
          <w:color w:val="000000" w:themeColor="text1"/>
          <w:sz w:val="26"/>
          <w:szCs w:val="26"/>
          <w:lang w:val="es-ES"/>
        </w:rPr>
      </w:pPr>
    </w:p>
    <w:p w14:paraId="05F8E9EB" w14:textId="77777777" w:rsidR="006E64CE" w:rsidRPr="006E64CE" w:rsidRDefault="006E64CE" w:rsidP="006E64CE">
      <w:pPr>
        <w:spacing w:after="120"/>
        <w:jc w:val="center"/>
        <w:rPr>
          <w:rFonts w:ascii="Bookman Old Style" w:hAnsi="Bookman Old Style"/>
          <w:color w:val="000000" w:themeColor="text1"/>
          <w:sz w:val="26"/>
          <w:szCs w:val="26"/>
          <w:lang w:val="es-ES"/>
        </w:rPr>
      </w:pPr>
      <w:r w:rsidRPr="006E64CE">
        <w:rPr>
          <w:rFonts w:ascii="Bookman Old Style" w:hAnsi="Bookman Old Style"/>
          <w:b/>
          <w:bCs/>
          <w:color w:val="000000" w:themeColor="text1"/>
          <w:sz w:val="26"/>
          <w:szCs w:val="26"/>
          <w:lang w:val="es-DO"/>
        </w:rPr>
        <w:t>Modulo</w:t>
      </w:r>
    </w:p>
    <w:p w14:paraId="39329A90" w14:textId="5CA5ECF3" w:rsidR="006E64CE" w:rsidRPr="004D27A1" w:rsidRDefault="006E64CE" w:rsidP="004D27A1">
      <w:pPr>
        <w:pStyle w:val="Heading1"/>
        <w:jc w:val="center"/>
        <w:rPr>
          <w:rFonts w:ascii="Bookman Old Style" w:hAnsi="Bookman Old Style"/>
          <w:b w:val="0"/>
          <w:bCs w:val="0"/>
          <w:i w:val="0"/>
          <w:iCs w:val="0"/>
          <w:lang w:val="es-DO"/>
        </w:rPr>
      </w:pPr>
      <w:r w:rsidRPr="004D27A1">
        <w:rPr>
          <w:rFonts w:ascii="Bookman Old Style" w:hAnsi="Bookman Old Style"/>
          <w:b w:val="0"/>
          <w:bCs w:val="0"/>
          <w:i w:val="0"/>
          <w:iCs w:val="0"/>
          <w:lang w:val="es-DO"/>
        </w:rPr>
        <w:t>2do Parcial</w:t>
      </w:r>
    </w:p>
    <w:p w14:paraId="65605702" w14:textId="77777777" w:rsidR="006E64CE" w:rsidRPr="006E64CE" w:rsidRDefault="006E64CE" w:rsidP="006E64CE">
      <w:pPr>
        <w:spacing w:after="120"/>
        <w:jc w:val="center"/>
        <w:rPr>
          <w:rFonts w:ascii="Bookman Old Style" w:hAnsi="Bookman Old Style"/>
          <w:color w:val="000000" w:themeColor="text1"/>
          <w:sz w:val="24"/>
          <w:szCs w:val="24"/>
          <w:lang w:val="es-ES"/>
        </w:rPr>
      </w:pPr>
    </w:p>
    <w:p w14:paraId="3BF6D99E" w14:textId="77777777" w:rsidR="006E64CE" w:rsidRPr="006E64CE" w:rsidRDefault="006E64CE" w:rsidP="006E64CE">
      <w:pPr>
        <w:spacing w:after="120" w:line="259" w:lineRule="auto"/>
        <w:jc w:val="center"/>
        <w:rPr>
          <w:rFonts w:ascii="Bookman Old Style" w:hAnsi="Bookman Old Style"/>
          <w:color w:val="000000" w:themeColor="text1"/>
          <w:sz w:val="26"/>
          <w:szCs w:val="26"/>
          <w:lang w:val="es-ES"/>
        </w:rPr>
      </w:pPr>
      <w:r w:rsidRPr="006E64CE">
        <w:rPr>
          <w:rFonts w:ascii="Bookman Old Style" w:hAnsi="Bookman Old Style"/>
          <w:b/>
          <w:bCs/>
          <w:color w:val="000000" w:themeColor="text1"/>
          <w:sz w:val="26"/>
          <w:szCs w:val="26"/>
          <w:lang w:val="es-DO"/>
        </w:rPr>
        <w:t>Integrantes</w:t>
      </w:r>
    </w:p>
    <w:p w14:paraId="08075FD6" w14:textId="77777777" w:rsidR="006E64CE" w:rsidRPr="006E64CE" w:rsidRDefault="006E64CE" w:rsidP="006E64CE">
      <w:pPr>
        <w:jc w:val="center"/>
        <w:rPr>
          <w:rFonts w:ascii="Bookman Old Style" w:hAnsi="Bookman Old Style"/>
          <w:color w:val="000000" w:themeColor="text1"/>
          <w:sz w:val="24"/>
          <w:szCs w:val="24"/>
          <w:lang w:val="es-ES"/>
        </w:rPr>
      </w:pPr>
      <w:r w:rsidRPr="006E64CE">
        <w:rPr>
          <w:rFonts w:ascii="Bookman Old Style" w:hAnsi="Bookman Old Style"/>
          <w:color w:val="000000" w:themeColor="text1"/>
          <w:sz w:val="24"/>
          <w:szCs w:val="24"/>
          <w:lang w:val="es-DO"/>
        </w:rPr>
        <w:t xml:space="preserve">Rafael Rivas – A00117072. </w:t>
      </w:r>
    </w:p>
    <w:p w14:paraId="1DF45BA0" w14:textId="77777777" w:rsidR="006E64CE" w:rsidRPr="006E64CE" w:rsidRDefault="006E64CE" w:rsidP="006E64CE">
      <w:pPr>
        <w:jc w:val="center"/>
        <w:rPr>
          <w:rFonts w:ascii="Bookman Old Style" w:hAnsi="Bookman Old Style"/>
          <w:color w:val="000000" w:themeColor="text1"/>
          <w:sz w:val="24"/>
          <w:szCs w:val="24"/>
          <w:lang w:val="es-ES"/>
        </w:rPr>
      </w:pPr>
      <w:r w:rsidRPr="006E64CE">
        <w:rPr>
          <w:rFonts w:ascii="Bookman Old Style" w:hAnsi="Bookman Old Style"/>
          <w:color w:val="000000" w:themeColor="text1"/>
          <w:sz w:val="24"/>
          <w:szCs w:val="24"/>
          <w:lang w:val="es-DO"/>
        </w:rPr>
        <w:t>Romer Amparo – A00118532.</w:t>
      </w:r>
    </w:p>
    <w:p w14:paraId="426BDC85" w14:textId="77777777" w:rsidR="006E64CE" w:rsidRPr="006E64CE" w:rsidRDefault="006E64CE" w:rsidP="006E64CE">
      <w:pPr>
        <w:jc w:val="center"/>
        <w:rPr>
          <w:rFonts w:ascii="Bookman Old Style" w:hAnsi="Bookman Old Style"/>
          <w:color w:val="000000" w:themeColor="text1"/>
          <w:sz w:val="24"/>
          <w:szCs w:val="24"/>
          <w:lang w:val="es-ES"/>
        </w:rPr>
      </w:pPr>
      <w:r w:rsidRPr="006E64CE">
        <w:rPr>
          <w:rFonts w:ascii="Bookman Old Style" w:hAnsi="Bookman Old Style"/>
          <w:color w:val="000000" w:themeColor="text1"/>
          <w:sz w:val="24"/>
          <w:szCs w:val="24"/>
          <w:lang w:val="es-DO"/>
        </w:rPr>
        <w:t>Carlos Rodríguez – A00116172.</w:t>
      </w:r>
    </w:p>
    <w:p w14:paraId="3EF7BA86" w14:textId="77777777" w:rsidR="006E64CE" w:rsidRPr="006E64CE" w:rsidRDefault="006E64CE" w:rsidP="006E64CE">
      <w:pPr>
        <w:jc w:val="center"/>
        <w:rPr>
          <w:rFonts w:ascii="Bookman Old Style" w:hAnsi="Bookman Old Style"/>
          <w:color w:val="000000" w:themeColor="text1"/>
          <w:sz w:val="24"/>
          <w:szCs w:val="24"/>
          <w:lang w:val="es-ES"/>
        </w:rPr>
      </w:pPr>
      <w:r w:rsidRPr="006E64CE">
        <w:rPr>
          <w:rFonts w:ascii="Bookman Old Style" w:hAnsi="Bookman Old Style"/>
          <w:color w:val="000000" w:themeColor="text1"/>
          <w:sz w:val="24"/>
          <w:szCs w:val="24"/>
          <w:lang w:val="es-DO"/>
        </w:rPr>
        <w:t>Elwins Zorrilla – A00118365.</w:t>
      </w:r>
    </w:p>
    <w:p w14:paraId="40BB8936" w14:textId="77777777" w:rsidR="006E64CE" w:rsidRPr="006E64CE" w:rsidRDefault="006E64CE" w:rsidP="006E64CE">
      <w:pPr>
        <w:jc w:val="center"/>
        <w:rPr>
          <w:rFonts w:ascii="Bookman Old Style" w:hAnsi="Bookman Old Style"/>
          <w:color w:val="000000" w:themeColor="text1"/>
          <w:sz w:val="24"/>
          <w:szCs w:val="24"/>
          <w:lang w:val="es-ES"/>
        </w:rPr>
      </w:pPr>
      <w:r w:rsidRPr="006E64CE">
        <w:rPr>
          <w:rFonts w:ascii="Bookman Old Style" w:hAnsi="Bookman Old Style"/>
          <w:color w:val="000000" w:themeColor="text1"/>
          <w:sz w:val="24"/>
          <w:szCs w:val="24"/>
          <w:lang w:val="es-DO"/>
        </w:rPr>
        <w:t>Reny Placencio – A00119098.</w:t>
      </w:r>
    </w:p>
    <w:p w14:paraId="758BB0FC" w14:textId="77777777" w:rsidR="006E64CE" w:rsidRPr="006E64CE" w:rsidRDefault="006E64CE" w:rsidP="006E64CE">
      <w:pPr>
        <w:jc w:val="center"/>
        <w:rPr>
          <w:rFonts w:ascii="Bookman Old Style" w:hAnsi="Bookman Old Style"/>
          <w:color w:val="000000" w:themeColor="text1"/>
          <w:sz w:val="24"/>
          <w:szCs w:val="24"/>
          <w:lang w:val="es-ES"/>
        </w:rPr>
      </w:pPr>
    </w:p>
    <w:p w14:paraId="0B11A19F" w14:textId="77777777" w:rsidR="006E64CE" w:rsidRPr="006E64CE" w:rsidRDefault="006E64CE" w:rsidP="006E64CE">
      <w:pPr>
        <w:spacing w:after="120"/>
        <w:jc w:val="center"/>
        <w:rPr>
          <w:rFonts w:ascii="Bookman Old Style" w:hAnsi="Bookman Old Style"/>
          <w:color w:val="000000" w:themeColor="text1"/>
          <w:sz w:val="26"/>
          <w:szCs w:val="26"/>
          <w:lang w:val="es-ES"/>
        </w:rPr>
      </w:pPr>
      <w:r w:rsidRPr="006E64CE">
        <w:rPr>
          <w:rFonts w:ascii="Bookman Old Style" w:hAnsi="Bookman Old Style"/>
          <w:b/>
          <w:bCs/>
          <w:color w:val="000000" w:themeColor="text1"/>
          <w:sz w:val="26"/>
          <w:szCs w:val="26"/>
          <w:lang w:val="es-DO"/>
        </w:rPr>
        <w:t>Facilitador</w:t>
      </w:r>
    </w:p>
    <w:p w14:paraId="3E71FDCB" w14:textId="77777777" w:rsidR="006E64CE" w:rsidRPr="006E64CE" w:rsidRDefault="006E64CE" w:rsidP="006E64CE">
      <w:pPr>
        <w:jc w:val="center"/>
        <w:rPr>
          <w:rFonts w:ascii="Bookman Old Style" w:hAnsi="Bookman Old Style"/>
          <w:color w:val="000000" w:themeColor="text1"/>
          <w:sz w:val="24"/>
          <w:szCs w:val="24"/>
          <w:lang w:val="es-ES"/>
        </w:rPr>
      </w:pPr>
      <w:r w:rsidRPr="006E64CE">
        <w:rPr>
          <w:rFonts w:ascii="Bookman Old Style" w:hAnsi="Bookman Old Style"/>
          <w:color w:val="000000" w:themeColor="text1"/>
          <w:sz w:val="24"/>
          <w:szCs w:val="24"/>
          <w:lang w:val="es-DO"/>
        </w:rPr>
        <w:t>Omar Alexis Reyes Medina.</w:t>
      </w:r>
    </w:p>
    <w:p w14:paraId="362234F4" w14:textId="77777777" w:rsidR="006E64CE" w:rsidRPr="006E64CE" w:rsidRDefault="006E64CE" w:rsidP="006E64CE">
      <w:pPr>
        <w:spacing w:after="320"/>
        <w:rPr>
          <w:rFonts w:ascii="Bookman Old Style" w:hAnsi="Bookman Old Style"/>
          <w:color w:val="000000" w:themeColor="text1"/>
          <w:lang w:val="es-ES"/>
        </w:rPr>
      </w:pPr>
    </w:p>
    <w:p w14:paraId="5956572C" w14:textId="77777777" w:rsidR="006E64CE" w:rsidRPr="006E64CE" w:rsidRDefault="006E64CE" w:rsidP="006E64CE">
      <w:pPr>
        <w:spacing w:after="120"/>
        <w:jc w:val="center"/>
        <w:rPr>
          <w:rFonts w:ascii="Bookman Old Style" w:hAnsi="Bookman Old Style"/>
          <w:color w:val="000000" w:themeColor="text1"/>
          <w:sz w:val="26"/>
          <w:szCs w:val="26"/>
          <w:lang w:val="en-US"/>
        </w:rPr>
      </w:pPr>
      <w:r w:rsidRPr="006E64CE">
        <w:rPr>
          <w:rFonts w:ascii="Bookman Old Style" w:hAnsi="Bookman Old Style"/>
          <w:b/>
          <w:bCs/>
          <w:color w:val="000000" w:themeColor="text1"/>
          <w:sz w:val="26"/>
          <w:szCs w:val="26"/>
          <w:lang w:val="es-DO"/>
        </w:rPr>
        <w:t>Fecha</w:t>
      </w:r>
    </w:p>
    <w:p w14:paraId="605B075A" w14:textId="7630A984" w:rsidR="006E64CE" w:rsidRPr="006E64CE" w:rsidRDefault="006E64CE" w:rsidP="006E64CE">
      <w:pPr>
        <w:jc w:val="center"/>
        <w:rPr>
          <w:rFonts w:ascii="Bookman Old Style" w:hAnsi="Bookman Old Style"/>
          <w:color w:val="000000" w:themeColor="text1"/>
          <w:lang w:val="en-US"/>
        </w:rPr>
      </w:pPr>
      <w:r>
        <w:rPr>
          <w:rFonts w:ascii="Bookman Old Style" w:hAnsi="Bookman Old Style"/>
          <w:color w:val="000000" w:themeColor="text1"/>
          <w:lang w:val="es-DO"/>
        </w:rPr>
        <w:t>09</w:t>
      </w:r>
      <w:r w:rsidRPr="006E64CE">
        <w:rPr>
          <w:rFonts w:ascii="Bookman Old Style" w:hAnsi="Bookman Old Style"/>
          <w:color w:val="000000" w:themeColor="text1"/>
          <w:lang w:val="es-DO"/>
        </w:rPr>
        <w:t xml:space="preserve"> de Ju</w:t>
      </w:r>
      <w:r>
        <w:rPr>
          <w:rFonts w:ascii="Bookman Old Style" w:hAnsi="Bookman Old Style"/>
          <w:color w:val="000000" w:themeColor="text1"/>
          <w:lang w:val="es-DO"/>
        </w:rPr>
        <w:t>l</w:t>
      </w:r>
      <w:r w:rsidRPr="006E64CE">
        <w:rPr>
          <w:rFonts w:ascii="Bookman Old Style" w:hAnsi="Bookman Old Style"/>
          <w:color w:val="000000" w:themeColor="text1"/>
          <w:lang w:val="es-DO"/>
        </w:rPr>
        <w:t>io 2026</w:t>
      </w:r>
    </w:p>
    <w:p w14:paraId="464C465E" w14:textId="77777777" w:rsidR="006E64CE" w:rsidRDefault="006E64CE" w:rsidP="006E64CE"/>
    <w:p w14:paraId="2001D32F" w14:textId="77777777" w:rsidR="006E64CE" w:rsidRDefault="006E64CE" w:rsidP="006E64CE"/>
    <w:p w14:paraId="46924593" w14:textId="77777777" w:rsidR="006E64CE" w:rsidRDefault="006E64CE" w:rsidP="006E64CE"/>
    <w:p w14:paraId="07275830" w14:textId="77777777" w:rsidR="006E64CE" w:rsidRDefault="006E64CE" w:rsidP="006E64CE"/>
    <w:p w14:paraId="34EA6807" w14:textId="77777777" w:rsidR="006E64CE" w:rsidRDefault="006E64CE" w:rsidP="006E64CE"/>
    <w:p w14:paraId="325EF46E" w14:textId="77777777" w:rsidR="006E64CE" w:rsidRDefault="006E64CE" w:rsidP="006E64CE"/>
    <w:p w14:paraId="7FFB17F9" w14:textId="77777777" w:rsidR="006E64CE" w:rsidRDefault="006E64CE" w:rsidP="006E64CE"/>
    <w:p w14:paraId="77341DBF" w14:textId="77777777" w:rsidR="006E64CE" w:rsidRDefault="006E64CE" w:rsidP="006E64CE"/>
    <w:p w14:paraId="57F6FFA5" w14:textId="77777777" w:rsidR="006E64CE" w:rsidRDefault="006E64CE" w:rsidP="006E64CE"/>
    <w:p w14:paraId="36C9145B" w14:textId="77777777" w:rsidR="006E64CE" w:rsidRDefault="006E64CE" w:rsidP="006E64CE"/>
    <w:p w14:paraId="45BB6AA6" w14:textId="77777777" w:rsidR="006E64CE" w:rsidRDefault="006E64CE" w:rsidP="006E64CE"/>
    <w:p w14:paraId="4D96281A" w14:textId="77777777" w:rsidR="006E64CE" w:rsidRDefault="006E64CE" w:rsidP="006E64CE"/>
    <w:p w14:paraId="0CF1564E" w14:textId="1A84FD47" w:rsidR="006E64CE" w:rsidRPr="006E64CE" w:rsidRDefault="006E64CE" w:rsidP="006E64CE">
      <w:pPr>
        <w:pStyle w:val="Heading1"/>
      </w:pPr>
      <w:r w:rsidRPr="006E64CE">
        <w:lastRenderedPageBreak/>
        <w:t>Introducción al Anexo Técnico</w:t>
      </w:r>
    </w:p>
    <w:p w14:paraId="0D68718F"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UrbanSync es una plataforma de gestión inteligente de infraestructura urbana diseñada para gobiernos locales, tomando como caso de aplicación a la Alcaldía del Distrito Nacional (ADN). Su premisa central es que cada activo público —postes, calles, semáforos, parques y aceras— posea un historial digital donde se registren reparaciones e intervenciones, alimentado por evidencia fotográfica, geolocalización y descripciones capturadas por técnicos de campo, generando indicadores de estado y mantenimiento predictivo.</w:t>
      </w:r>
    </w:p>
    <w:p w14:paraId="7AD93A1C"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Este documento amplía y detalla cinco dimensiones técnicas de la solución: los módulos funcionales complementarios y el subsistema ciudadano de reportes; la alineación formal con la Agenda 2030 de la ONU; la adaptación de la plataforma al contexto operativo e institucional de la República Dominicana; la arquitectura de pantallas requerida por rol de usuario; y el prompt de diseño utilizado para la generación asistida de interfaces en Figma.</w:t>
      </w:r>
    </w:p>
    <w:p w14:paraId="464764B0" w14:textId="77777777" w:rsidR="006E64CE" w:rsidRPr="006E64CE" w:rsidRDefault="006E64CE" w:rsidP="006E64CE">
      <w:pPr>
        <w:pStyle w:val="Heading1"/>
      </w:pPr>
      <w:bookmarkStart w:id="0" w:name="_Toc234437339"/>
      <w:r w:rsidRPr="006E64CE">
        <w:t>1. Desglose de Ideas Complementarias</w:t>
      </w:r>
      <w:bookmarkEnd w:id="0"/>
    </w:p>
    <w:p w14:paraId="0622E65F"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UrbanSync extiende el concepto de historial digital de activos hacia un ecosistema de mantenimiento predictivo, logística inteligente y participación ciudadana. A continuación se detallan los módulos funcionales que amplían el núcleo de la plataforma, así como el subsistema de reportes comunitarios con mecanismos de gamificación.</w:t>
      </w:r>
    </w:p>
    <w:p w14:paraId="03EC7F57" w14:textId="77777777" w:rsidR="006E64CE" w:rsidRPr="006E64CE" w:rsidRDefault="006E64CE" w:rsidP="006E64CE">
      <w:pPr>
        <w:pStyle w:val="Heading2"/>
      </w:pPr>
      <w:bookmarkStart w:id="1" w:name="_Toc234437340"/>
      <w:r w:rsidRPr="006E64CE">
        <w:t>1.1 Módulos y Funcionalidades Avanzadas</w:t>
      </w:r>
      <w:bookmarkEnd w:id="1"/>
    </w:p>
    <w:p w14:paraId="22DDE242" w14:textId="77777777" w:rsidR="006E64CE" w:rsidRPr="006E64CE" w:rsidRDefault="006E64CE" w:rsidP="006E64CE">
      <w:pPr>
        <w:pStyle w:val="Heading3"/>
      </w:pPr>
      <w:bookmarkStart w:id="2" w:name="_Toc234437341"/>
      <w:r w:rsidRPr="006E64CE">
        <w:t>1.1.1 Módulo de Analítica Predictiva de Baches y Deterioro Vial (Pavement AI)</w:t>
      </w:r>
      <w:bookmarkEnd w:id="2"/>
    </w:p>
    <w:p w14:paraId="353DB38D"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Objetivo: </w:t>
      </w:r>
      <w:r w:rsidRPr="006E64CE">
        <w:rPr>
          <w:color w:val="000000" w:themeColor="text1"/>
          <w:sz w:val="24"/>
          <w:szCs w:val="24"/>
        </w:rPr>
        <w:t>anticipar la aparición y agravamiento de baches antes de que se conviertan en fallas estructurales costosas.</w:t>
      </w:r>
    </w:p>
    <w:p w14:paraId="1B1DFD32"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Fuentes de datos: </w:t>
      </w:r>
      <w:r w:rsidRPr="006E64CE">
        <w:rPr>
          <w:color w:val="000000" w:themeColor="text1"/>
          <w:sz w:val="24"/>
          <w:szCs w:val="24"/>
        </w:rPr>
        <w:t>fotografías geoetiquetadas subidas por técnicos y ciudadanos; datos de acelerómetro/giroscopio capturados mediante “sensado ciudadano” en vehículos municipales, taxis y unidades de OMSA; historial de intervenciones por segmento vial.</w:t>
      </w:r>
    </w:p>
    <w:p w14:paraId="688719E3"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Procesamiento: </w:t>
      </w:r>
      <w:r w:rsidRPr="006E64CE">
        <w:rPr>
          <w:color w:val="000000" w:themeColor="text1"/>
          <w:sz w:val="24"/>
          <w:szCs w:val="24"/>
        </w:rPr>
        <w:t>un modelo de visión por computadora (CNN tipo YOLOv8/ResNet ajustado por transferencia de aprendizaje) clasifica la severidad del bache (leve, moderado, severo); un índice de rugosidad estimado (IRI — International Roughness Index) se calcula a partir de series de aceleración vertical; un modelo de series de tiempo (Prophet/XGBoost) proyecta la curva de deterioro de cada segmento en función del tránsito vehicular, el tipo de superficie, la antigüedad de la última intervención y la exposición a lluvias (correlacionada con datos de INDOMET).</w:t>
      </w:r>
    </w:p>
    <w:p w14:paraId="21F9188C"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Salida: </w:t>
      </w:r>
      <w:r w:rsidRPr="006E64CE">
        <w:rPr>
          <w:color w:val="000000" w:themeColor="text1"/>
          <w:sz w:val="24"/>
          <w:szCs w:val="24"/>
        </w:rPr>
        <w:t>mapa de calor de riesgo vial actualizado semanalmente, ranking de segmentos priorizados para mantenimiento preventivo, y alertas automáticas al Dashboard Administrativo cuando un segmento supera el umbral crítico de riesgo.</w:t>
      </w:r>
    </w:p>
    <w:p w14:paraId="6C2F68BB"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lastRenderedPageBreak/>
        <w:t xml:space="preserve">Valor: </w:t>
      </w:r>
      <w:r w:rsidRPr="006E64CE">
        <w:rPr>
          <w:color w:val="000000" w:themeColor="text1"/>
          <w:sz w:val="24"/>
          <w:szCs w:val="24"/>
        </w:rPr>
        <w:t>convierte el mantenimiento correctivo reactivo en mantenimiento preventivo basado en datos, reduciendo tanto el costo de reparación como la accidentalidad vial asociada a baches no atendidos.</w:t>
      </w:r>
    </w:p>
    <w:p w14:paraId="71D1BEC6" w14:textId="77777777" w:rsidR="006E64CE" w:rsidRPr="006E64CE" w:rsidRDefault="006E64CE" w:rsidP="006E64CE">
      <w:pPr>
        <w:pStyle w:val="Heading3"/>
      </w:pPr>
      <w:bookmarkStart w:id="3" w:name="_Toc234437342"/>
      <w:r w:rsidRPr="006E64CE">
        <w:t>1.1.2 Módulo de Optimización de Rutas de Cuadrillas de Mantenimiento</w:t>
      </w:r>
      <w:bookmarkEnd w:id="3"/>
    </w:p>
    <w:p w14:paraId="1690A0E7"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Objetivo: </w:t>
      </w:r>
      <w:r w:rsidRPr="006E64CE">
        <w:rPr>
          <w:color w:val="000000" w:themeColor="text1"/>
          <w:sz w:val="24"/>
          <w:szCs w:val="24"/>
        </w:rPr>
        <w:t>maximizar el número de intervenciones por jornada y minimizar los tiempos muertos de traslado entre órdenes de trabajo.</w:t>
      </w:r>
    </w:p>
    <w:p w14:paraId="457971D8"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Enfoque algorítmico: </w:t>
      </w:r>
      <w:r w:rsidRPr="006E64CE">
        <w:rPr>
          <w:color w:val="000000" w:themeColor="text1"/>
          <w:sz w:val="24"/>
          <w:szCs w:val="24"/>
        </w:rPr>
        <w:t>modelado como un Problema de Enrutamiento de Vehículos con Ventanas de Tiempo y Capacidad (CVRPTW), resuelto mediante heurísticas de vecindad (Clarke-Wright Savings) y refinado con motores de optimización como Google OR-Tools; reasignación dinámica cuando ingresa una orden de emergencia mediante recomputación incremental de rutas activas.</w:t>
      </w:r>
    </w:p>
    <w:p w14:paraId="5F114096"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Variables consideradas: </w:t>
      </w:r>
      <w:r w:rsidRPr="006E64CE">
        <w:rPr>
          <w:color w:val="000000" w:themeColor="text1"/>
          <w:sz w:val="24"/>
          <w:szCs w:val="24"/>
        </w:rPr>
        <w:t>ubicación de cada orden, prioridad/SLA, especialidad requerida de la cuadrilla (electricidad, pavimentación, señalización, jardinería), disponibilidad de materiales en el vehículo, y condiciones de tránsito en tiempo real.</w:t>
      </w:r>
    </w:p>
    <w:p w14:paraId="33E7A185"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Salida: </w:t>
      </w:r>
      <w:r w:rsidRPr="006E64CE">
        <w:rPr>
          <w:color w:val="000000" w:themeColor="text1"/>
          <w:sz w:val="24"/>
          <w:szCs w:val="24"/>
        </w:rPr>
        <w:t>ruta óptima diaria por cuadrilla visible en la App del Técnico de Campo, ETA por orden, y métricas de eficiencia (órdenes resueltas por día, kilómetros recorridos, combustible estimado).</w:t>
      </w:r>
    </w:p>
    <w:p w14:paraId="582C3BCA"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Valor: </w:t>
      </w:r>
      <w:r w:rsidRPr="006E64CE">
        <w:rPr>
          <w:color w:val="000000" w:themeColor="text1"/>
          <w:sz w:val="24"/>
          <w:szCs w:val="24"/>
        </w:rPr>
        <w:t>reduce el tiempo medio de resolución (MTTR) y el gasto en combustible de las cuadrillas municipales.</w:t>
      </w:r>
    </w:p>
    <w:p w14:paraId="33FE915F" w14:textId="77777777" w:rsidR="006E64CE" w:rsidRPr="006E64CE" w:rsidRDefault="006E64CE" w:rsidP="006E64CE">
      <w:pPr>
        <w:pStyle w:val="Heading3"/>
      </w:pPr>
      <w:bookmarkStart w:id="4" w:name="_Toc234437343"/>
      <w:r w:rsidRPr="006E64CE">
        <w:t>1.1.3 Módulo de Gestión de Inventario de Luminarias y Activos Eléctricos</w:t>
      </w:r>
      <w:bookmarkEnd w:id="4"/>
    </w:p>
    <w:p w14:paraId="481BACF2"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Objetivo: </w:t>
      </w:r>
      <w:r w:rsidRPr="006E64CE">
        <w:rPr>
          <w:color w:val="000000" w:themeColor="text1"/>
          <w:sz w:val="24"/>
          <w:szCs w:val="24"/>
        </w:rPr>
        <w:t>controlar de forma granular el ciclo de vida de cada poste y luminaria, desde instalación hasta reemplazo, incluyendo su relación con las empresas distribuidoras de electricidad (EDESUR, EDENORTE, EDEESTE).</w:t>
      </w:r>
    </w:p>
    <w:p w14:paraId="68C6AC09"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Funcionalidades: </w:t>
      </w:r>
      <w:r w:rsidRPr="006E64CE">
        <w:rPr>
          <w:color w:val="000000" w:themeColor="text1"/>
          <w:sz w:val="24"/>
          <w:szCs w:val="24"/>
        </w:rPr>
        <w:t>catálogo georreferenciado con identificador único por código QR/NFC; registro de tipo de luminaria (sodio, LED), consumo energético estimado y fecha de instalación; cálculo de MTBF (tiempo medio entre fallos) por modelo/proveedor para detectar lotes defectuosos; gestión de stock de repuestos por almacén y por cuadrilla con alertas de reorden automático; ruta de evolución hacia postes inteligentes con sensores IoT de luminosidad para detección automática de fallos.</w:t>
      </w:r>
    </w:p>
    <w:p w14:paraId="28C2B33B"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Salida: </w:t>
      </w:r>
      <w:r w:rsidRPr="006E64CE">
        <w:rPr>
          <w:color w:val="000000" w:themeColor="text1"/>
          <w:sz w:val="24"/>
          <w:szCs w:val="24"/>
        </w:rPr>
        <w:t>dashboard de “salud del alumbrado público” por circunscripción/circuito y proyección de ahorro energético al migrar circuitos a tecnología LED.</w:t>
      </w:r>
    </w:p>
    <w:p w14:paraId="5062AFBB"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Valor: </w:t>
      </w:r>
      <w:r w:rsidRPr="006E64CE">
        <w:rPr>
          <w:color w:val="000000" w:themeColor="text1"/>
          <w:sz w:val="24"/>
          <w:szCs w:val="24"/>
        </w:rPr>
        <w:t>reduce el tiempo en que una zona permanece sin iluminación —factor directo de seguridad ciudadana— y optimiza el gasto público en energía y repuestos.</w:t>
      </w:r>
    </w:p>
    <w:p w14:paraId="74FC75D7" w14:textId="77777777" w:rsidR="006E64CE" w:rsidRPr="006E64CE" w:rsidRDefault="006E64CE" w:rsidP="006E64CE">
      <w:pPr>
        <w:pStyle w:val="Heading3"/>
      </w:pPr>
      <w:bookmarkStart w:id="5" w:name="_Toc234437344"/>
      <w:r w:rsidRPr="006E64CE">
        <w:lastRenderedPageBreak/>
        <w:t>1.1.4 Módulo Complementario: Gemelo Digital Urbano</w:t>
      </w:r>
      <w:bookmarkEnd w:id="5"/>
    </w:p>
    <w:p w14:paraId="1441C24D"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Capa de visualización tipo SIG (Sistema de Información Geográfica) que consolida todos los activos y sus indicadores en un modelo espacial único, permitiendo simular escenarios —por ejemplo, el impacto de cerrar una avenida por reparación— y priorizar la inversión de capital por zona según densidad poblacional e índice de vulnerabilidad urbana.</w:t>
      </w:r>
    </w:p>
    <w:p w14:paraId="39C7CDED" w14:textId="77777777" w:rsidR="006E64CE" w:rsidRPr="006E64CE" w:rsidRDefault="006E64CE" w:rsidP="006E64CE">
      <w:pPr>
        <w:pStyle w:val="Heading2"/>
      </w:pPr>
      <w:bookmarkStart w:id="6" w:name="_Toc234437345"/>
      <w:r w:rsidRPr="006E64CE">
        <w:t>1.2 Módulo Ciudadano de Reportes con Gamificación e Incentivos Comunitarios</w:t>
      </w:r>
      <w:bookmarkEnd w:id="6"/>
    </w:p>
    <w:p w14:paraId="4133E1A7" w14:textId="77777777" w:rsidR="006E64CE" w:rsidRPr="006E64CE" w:rsidRDefault="006E64CE" w:rsidP="006E64CE">
      <w:pPr>
        <w:pStyle w:val="Heading3"/>
      </w:pPr>
      <w:bookmarkStart w:id="7" w:name="_Toc234437346"/>
      <w:r w:rsidRPr="006E64CE">
        <w:t>Flujo del reporte ciudadano</w:t>
      </w:r>
      <w:bookmarkEnd w:id="7"/>
    </w:p>
    <w:p w14:paraId="7E64945D"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color w:val="000000" w:themeColor="text1"/>
          <w:sz w:val="24"/>
          <w:szCs w:val="24"/>
        </w:rPr>
        <w:t>El ciudadano abre la app/portal, ubica el activo dañado (manualmente o vía GPS automático), toma una foto y selecciona la categoría (bache, poste apagado, semáforo dañado, imbornal tapado, acera rota, parque en mal estado).</w:t>
      </w:r>
    </w:p>
    <w:p w14:paraId="739CA5AC"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color w:val="000000" w:themeColor="text1"/>
          <w:sz w:val="24"/>
          <w:szCs w:val="24"/>
        </w:rPr>
        <w:t>El sistema geolocaliza y marca con timestamp el reporte de forma automática, y ejecuta una validación preliminar por visión por computadora para descartar reportes vacíos, duplicados (mediante hash perceptual de imagen) o fuera de contexto.</w:t>
      </w:r>
    </w:p>
    <w:p w14:paraId="5B8CBB48"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color w:val="000000" w:themeColor="text1"/>
          <w:sz w:val="24"/>
          <w:szCs w:val="24"/>
        </w:rPr>
        <w:t>El reporte ingresa a una cola de moderación/triage semiautomática; si la categoría o el texto sugieren riesgo inmediato (cables energizados caídos, hueco profundo en vía de alta velocidad), se escala automáticamente como “Prioridad Crítica” e interopera con el 911 (ver sección 3.3).</w:t>
      </w:r>
    </w:p>
    <w:p w14:paraId="40F9A67A"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color w:val="000000" w:themeColor="text1"/>
          <w:sz w:val="24"/>
          <w:szCs w:val="24"/>
        </w:rPr>
        <w:t>El ciudadano recibe notificaciones de cada cambio de estado (Recibido → Verificado → Asignado → En progreso → Resuelto) y visualiza la fotografía “después” cuando el técnico cierra la orden.</w:t>
      </w:r>
    </w:p>
    <w:p w14:paraId="447470AF" w14:textId="77777777" w:rsidR="006E64CE" w:rsidRPr="006E64CE" w:rsidRDefault="006E64CE" w:rsidP="006E64CE">
      <w:pPr>
        <w:pStyle w:val="Heading3"/>
      </w:pPr>
      <w:bookmarkStart w:id="8" w:name="_Toc234437347"/>
      <w:r w:rsidRPr="006E64CE">
        <w:t>Gamificación e incentivos</w:t>
      </w:r>
      <w:bookmarkEnd w:id="8"/>
    </w:p>
    <w:p w14:paraId="4213C5A9"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Sistema de puntos (“SyncPoints”): </w:t>
      </w:r>
      <w:r w:rsidRPr="006E64CE">
        <w:rPr>
          <w:color w:val="000000" w:themeColor="text1"/>
          <w:sz w:val="24"/>
          <w:szCs w:val="24"/>
        </w:rPr>
        <w:t>otorgados por reporte válido, por verificación comunitaria (upvotes de vecinos) y con bonus por reportar en zonas subrepresentadas, para evitar sesgo hacia barrios con mayor penetración de smartphones.</w:t>
      </w:r>
    </w:p>
    <w:p w14:paraId="0B92C74E"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Insignias progresivas: </w:t>
      </w:r>
      <w:r w:rsidRPr="006E64CE">
        <w:rPr>
          <w:color w:val="000000" w:themeColor="text1"/>
          <w:sz w:val="24"/>
          <w:szCs w:val="24"/>
        </w:rPr>
        <w:t>Vigía de Barrio, Guardián Vial, Embajador UrbanSync, junto con un ranking público por circunscripción que fomenta una competencia cívica sana entre juntas de vecinos.</w:t>
      </w:r>
    </w:p>
    <w:p w14:paraId="18F4A5D3"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Incentivos comunitarios canjeables: </w:t>
      </w:r>
      <w:r w:rsidRPr="006E64CE">
        <w:rPr>
          <w:color w:val="000000" w:themeColor="text1"/>
          <w:sz w:val="24"/>
          <w:szCs w:val="24"/>
        </w:rPr>
        <w:t>descuentos en arbitrios municipales, prioridad en trámites de la ADN, reconocimiento público en eventos municipales y, para las juntas de vecinos con más reportes válidos del trimestre, inversión adicional en un proyecto de mejora del espacio público de su elección (presupuesto participativo gamificado).</w:t>
      </w:r>
    </w:p>
    <w:p w14:paraId="7C8A42C0"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Mecanismos anti-fraude: </w:t>
      </w:r>
      <w:r w:rsidRPr="006E64CE">
        <w:rPr>
          <w:color w:val="000000" w:themeColor="text1"/>
          <w:sz w:val="24"/>
          <w:szCs w:val="24"/>
        </w:rPr>
        <w:t>límites de reportes por ventana de tiempo y geocerca, verificación cruzada entre el reporte ciudadano y la evidencia del técnico, y penalización de puntos ante reportes rechazados de forma reiterada por moderación.</w:t>
      </w:r>
    </w:p>
    <w:p w14:paraId="664E7596" w14:textId="77777777" w:rsidR="006E64CE" w:rsidRPr="006E64CE" w:rsidRDefault="006E64CE" w:rsidP="006E64CE">
      <w:pPr>
        <w:pStyle w:val="Heading1"/>
      </w:pPr>
      <w:bookmarkStart w:id="9" w:name="_Toc234437348"/>
      <w:r w:rsidRPr="006E64CE">
        <w:lastRenderedPageBreak/>
        <w:t>2. Alineación con las ODS (Agenda 2030)</w:t>
      </w:r>
      <w:bookmarkEnd w:id="9"/>
    </w:p>
    <w:p w14:paraId="0747B191"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UrbanSync no es únicamente una herramienta operativa: es un instrumento habilitador de los compromisos de desarrollo sostenible asumidos por la República Dominicana en el marco de la Agenda 2030 de la ONU.</w:t>
      </w:r>
    </w:p>
    <w:p w14:paraId="6473B3E2" w14:textId="77777777" w:rsidR="006E64CE" w:rsidRPr="006E64CE" w:rsidRDefault="006E64CE" w:rsidP="006E64CE">
      <w:pPr>
        <w:pStyle w:val="Heading2"/>
      </w:pPr>
      <w:bookmarkStart w:id="10" w:name="_Toc234437349"/>
      <w:r w:rsidRPr="006E64CE">
        <w:t>2.1 ODS 11 — Ciudades y Comunidades Sostenibles</w:t>
      </w:r>
      <w:bookmarkEnd w:id="10"/>
    </w:p>
    <w:p w14:paraId="45C8C562"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La plataforma se vincula formalmente con metas específicas del ODS 11: la meta 11.2, referida al acceso a sistemas de transporte seguros y sostenibles, mediante la reducción del tiempo en que baches, semáforos dañados y aceras rotas permanecen sin reparar; la meta 11.6, sobre la reducción del impacto ambiental negativo per cápita de las ciudades, mediante el módulo de gestión de imbornales y cañadas; la meta 11.7, sobre el acceso universal a espacios públicos seguros, inclusivos y accesibles, mediante el historial digital de parques y aceras y el reporte ciudadano de barreras de accesibilidad; y la meta 11.b, sobre políticas integradas de gestión de riesgo de desastres, mediante el módulo climático descrito en la sección 3.</w:t>
      </w:r>
    </w:p>
    <w:p w14:paraId="42492A1A"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Impacto social y urbano: al convertir la gestión de infraestructura en un proceso transparente, medible y participativo, UrbanSync reduce la brecha de percepción entre la ciudadanía y el gobierno local, fortalece la rendición de cuentas y democratiza el acceso a información sobre el estado real de la ciudad, un factor determinante para la confianza institucional.</w:t>
      </w:r>
    </w:p>
    <w:p w14:paraId="0BE0F7B2" w14:textId="77777777" w:rsidR="006E64CE" w:rsidRPr="006E64CE" w:rsidRDefault="006E64CE" w:rsidP="006E64CE">
      <w:pPr>
        <w:pStyle w:val="Heading2"/>
      </w:pPr>
      <w:bookmarkStart w:id="11" w:name="_Toc234437350"/>
      <w:r w:rsidRPr="006E64CE">
        <w:t>2.2 ODS 9 — Industria, Innovación e Infraestructura</w:t>
      </w:r>
      <w:bookmarkEnd w:id="11"/>
    </w:p>
    <w:p w14:paraId="508B2FBF"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La meta 9.1 busca desarrollar infraestructuras fiables, sostenibles, resilientes y de calidad, con especial énfasis en el acceso equitativo; UrbanSync provee precisamente la “infraestructura digital” que hace auditable y fiable la infraestructura física. La meta 9.4, sobre modernización y eficiencia en el uso de recursos, se atiende mediante el mantenimiento predictivo, que reduce el desperdicio de materiales y horas-hombre asociado a reparaciones reactivas o tardías. La meta 9.c, sobre el acceso a tecnologías de la información, se refleja en el diseño de UrbanSync como plataforma abierta e interoperable —con APIs públicas y potencial integración con el Portal de Datos Abiertos de la República Dominicana— que fomenta un ecosistema de innovación cívica alrededor de los datos urbanos.</w:t>
      </w:r>
    </w:p>
    <w:p w14:paraId="06B38230" w14:textId="77777777" w:rsidR="006E64CE" w:rsidRDefault="006E64CE" w:rsidP="006E64CE">
      <w:pPr>
        <w:spacing w:after="160" w:line="276" w:lineRule="auto"/>
        <w:jc w:val="both"/>
        <w:rPr>
          <w:color w:val="000000" w:themeColor="text1"/>
          <w:sz w:val="24"/>
          <w:szCs w:val="24"/>
        </w:rPr>
      </w:pPr>
      <w:r w:rsidRPr="006E64CE">
        <w:rPr>
          <w:color w:val="000000" w:themeColor="text1"/>
          <w:sz w:val="24"/>
          <w:szCs w:val="24"/>
        </w:rPr>
        <w:t>Impacto: UrbanSync posiciona a la ADN como referente de gobierno digital e innovación en gestión de activos, generando un activo de datos reutilizable para investigación académica, formulación de políticas públicas y futuras integraciones en movilidad, energía y resiliencia climática.</w:t>
      </w:r>
    </w:p>
    <w:p w14:paraId="156D5F7C" w14:textId="77777777" w:rsidR="006E64CE" w:rsidRDefault="006E64CE" w:rsidP="006E64CE">
      <w:pPr>
        <w:spacing w:after="160" w:line="276" w:lineRule="auto"/>
        <w:jc w:val="both"/>
        <w:rPr>
          <w:color w:val="000000" w:themeColor="text1"/>
          <w:sz w:val="24"/>
          <w:szCs w:val="24"/>
        </w:rPr>
      </w:pPr>
    </w:p>
    <w:p w14:paraId="0D646307" w14:textId="77777777" w:rsidR="006E64CE" w:rsidRPr="006E64CE" w:rsidRDefault="006E64CE" w:rsidP="006E64CE">
      <w:pPr>
        <w:spacing w:after="160" w:line="276" w:lineRule="auto"/>
        <w:jc w:val="both"/>
        <w:rPr>
          <w:color w:val="000000" w:themeColor="text1"/>
          <w:sz w:val="24"/>
          <w:szCs w:val="24"/>
        </w:rPr>
      </w:pPr>
    </w:p>
    <w:p w14:paraId="2F963013" w14:textId="77777777" w:rsidR="006E64CE" w:rsidRPr="006E64CE" w:rsidRDefault="006E64CE" w:rsidP="006E64CE">
      <w:pPr>
        <w:pStyle w:val="Heading2"/>
      </w:pPr>
      <w:bookmarkStart w:id="12" w:name="_Toc234437351"/>
      <w:r w:rsidRPr="006E64CE">
        <w:lastRenderedPageBreak/>
        <w:t>2.3 Síntesis de Contribución</w:t>
      </w:r>
      <w:bookmarkEnd w:id="12"/>
    </w:p>
    <w:tbl>
      <w:tblPr>
        <w:tblStyle w:val="GridTable1Light"/>
        <w:tblW w:w="9360" w:type="dxa"/>
        <w:tblLook w:val="04A0" w:firstRow="1" w:lastRow="0" w:firstColumn="1" w:lastColumn="0" w:noHBand="0" w:noVBand="1"/>
      </w:tblPr>
      <w:tblGrid>
        <w:gridCol w:w="1400"/>
        <w:gridCol w:w="2600"/>
        <w:gridCol w:w="5360"/>
      </w:tblGrid>
      <w:tr w:rsidR="006E64CE" w:rsidRPr="006E64CE" w14:paraId="1074593D" w14:textId="77777777" w:rsidTr="006E6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2FBF0B11" w14:textId="77777777" w:rsidR="006E64CE" w:rsidRPr="006E64CE" w:rsidRDefault="006E64CE" w:rsidP="006E64CE">
            <w:pPr>
              <w:jc w:val="both"/>
              <w:rPr>
                <w:color w:val="000000" w:themeColor="text1"/>
                <w:sz w:val="24"/>
                <w:szCs w:val="24"/>
              </w:rPr>
            </w:pPr>
            <w:r w:rsidRPr="006E64CE">
              <w:rPr>
                <w:color w:val="000000" w:themeColor="text1"/>
                <w:sz w:val="24"/>
                <w:szCs w:val="24"/>
              </w:rPr>
              <w:t>ODS</w:t>
            </w:r>
          </w:p>
        </w:tc>
        <w:tc>
          <w:tcPr>
            <w:tcW w:w="2600" w:type="dxa"/>
          </w:tcPr>
          <w:p w14:paraId="4F184D90" w14:textId="77777777" w:rsidR="006E64CE" w:rsidRPr="006E64CE" w:rsidRDefault="006E64CE" w:rsidP="006E64CE">
            <w:pPr>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Meta vinculada</w:t>
            </w:r>
          </w:p>
        </w:tc>
        <w:tc>
          <w:tcPr>
            <w:tcW w:w="5360" w:type="dxa"/>
          </w:tcPr>
          <w:p w14:paraId="7264649A" w14:textId="77777777" w:rsidR="006E64CE" w:rsidRPr="006E64CE" w:rsidRDefault="006E64CE" w:rsidP="006E64CE">
            <w:pPr>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Módulo / mecanismo de UrbanSync</w:t>
            </w:r>
          </w:p>
        </w:tc>
      </w:tr>
      <w:tr w:rsidR="006E64CE" w:rsidRPr="006E64CE" w14:paraId="65FD355D" w14:textId="77777777" w:rsidTr="006E64CE">
        <w:tc>
          <w:tcPr>
            <w:cnfStyle w:val="001000000000" w:firstRow="0" w:lastRow="0" w:firstColumn="1" w:lastColumn="0" w:oddVBand="0" w:evenVBand="0" w:oddHBand="0" w:evenHBand="0" w:firstRowFirstColumn="0" w:firstRowLastColumn="0" w:lastRowFirstColumn="0" w:lastRowLastColumn="0"/>
            <w:tcW w:w="1400" w:type="dxa"/>
          </w:tcPr>
          <w:p w14:paraId="5A904536" w14:textId="77777777" w:rsidR="006E64CE" w:rsidRPr="006E64CE" w:rsidRDefault="006E64CE" w:rsidP="006E64CE">
            <w:pPr>
              <w:jc w:val="both"/>
              <w:rPr>
                <w:color w:val="000000" w:themeColor="text1"/>
                <w:sz w:val="24"/>
                <w:szCs w:val="24"/>
              </w:rPr>
            </w:pPr>
            <w:r w:rsidRPr="006E64CE">
              <w:rPr>
                <w:b w:val="0"/>
                <w:bCs w:val="0"/>
                <w:color w:val="000000" w:themeColor="text1"/>
                <w:sz w:val="24"/>
                <w:szCs w:val="24"/>
              </w:rPr>
              <w:t>ODS 11</w:t>
            </w:r>
          </w:p>
        </w:tc>
        <w:tc>
          <w:tcPr>
            <w:tcW w:w="2600" w:type="dxa"/>
          </w:tcPr>
          <w:p w14:paraId="6BBC1077"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11.2 — Transporte y movilidad seguros</w:t>
            </w:r>
          </w:p>
        </w:tc>
        <w:tc>
          <w:tcPr>
            <w:tcW w:w="5360" w:type="dxa"/>
          </w:tcPr>
          <w:p w14:paraId="28D09BFE"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Historial digital de vías, semáforos y aceras; priorización automática de reparaciones críticas.</w:t>
            </w:r>
          </w:p>
        </w:tc>
      </w:tr>
      <w:tr w:rsidR="006E64CE" w:rsidRPr="006E64CE" w14:paraId="64C089EC" w14:textId="77777777" w:rsidTr="006E64CE">
        <w:tc>
          <w:tcPr>
            <w:cnfStyle w:val="001000000000" w:firstRow="0" w:lastRow="0" w:firstColumn="1" w:lastColumn="0" w:oddVBand="0" w:evenVBand="0" w:oddHBand="0" w:evenHBand="0" w:firstRowFirstColumn="0" w:firstRowLastColumn="0" w:lastRowFirstColumn="0" w:lastRowLastColumn="0"/>
            <w:tcW w:w="1400" w:type="dxa"/>
          </w:tcPr>
          <w:p w14:paraId="3DF525AC" w14:textId="77777777" w:rsidR="006E64CE" w:rsidRPr="006E64CE" w:rsidRDefault="006E64CE" w:rsidP="006E64CE">
            <w:pPr>
              <w:jc w:val="both"/>
              <w:rPr>
                <w:color w:val="000000" w:themeColor="text1"/>
                <w:sz w:val="24"/>
                <w:szCs w:val="24"/>
              </w:rPr>
            </w:pPr>
            <w:r w:rsidRPr="006E64CE">
              <w:rPr>
                <w:b w:val="0"/>
                <w:bCs w:val="0"/>
                <w:color w:val="000000" w:themeColor="text1"/>
                <w:sz w:val="24"/>
                <w:szCs w:val="24"/>
              </w:rPr>
              <w:t>ODS 11</w:t>
            </w:r>
          </w:p>
        </w:tc>
        <w:tc>
          <w:tcPr>
            <w:tcW w:w="2600" w:type="dxa"/>
          </w:tcPr>
          <w:p w14:paraId="00B31F1D"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11.6 — Reducción del impacto ambiental urbano</w:t>
            </w:r>
          </w:p>
        </w:tc>
        <w:tc>
          <w:tcPr>
            <w:tcW w:w="5360" w:type="dxa"/>
          </w:tcPr>
          <w:p w14:paraId="72BD5707"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Gestión de imbornales/cañadas y monitoreo de espacios verdes.</w:t>
            </w:r>
          </w:p>
        </w:tc>
      </w:tr>
      <w:tr w:rsidR="006E64CE" w:rsidRPr="006E64CE" w14:paraId="4F0834CB" w14:textId="77777777" w:rsidTr="006E64CE">
        <w:tc>
          <w:tcPr>
            <w:cnfStyle w:val="001000000000" w:firstRow="0" w:lastRow="0" w:firstColumn="1" w:lastColumn="0" w:oddVBand="0" w:evenVBand="0" w:oddHBand="0" w:evenHBand="0" w:firstRowFirstColumn="0" w:firstRowLastColumn="0" w:lastRowFirstColumn="0" w:lastRowLastColumn="0"/>
            <w:tcW w:w="1400" w:type="dxa"/>
          </w:tcPr>
          <w:p w14:paraId="49781AFE" w14:textId="77777777" w:rsidR="006E64CE" w:rsidRPr="006E64CE" w:rsidRDefault="006E64CE" w:rsidP="006E64CE">
            <w:pPr>
              <w:jc w:val="both"/>
              <w:rPr>
                <w:color w:val="000000" w:themeColor="text1"/>
                <w:sz w:val="24"/>
                <w:szCs w:val="24"/>
              </w:rPr>
            </w:pPr>
            <w:r w:rsidRPr="006E64CE">
              <w:rPr>
                <w:b w:val="0"/>
                <w:bCs w:val="0"/>
                <w:color w:val="000000" w:themeColor="text1"/>
                <w:sz w:val="24"/>
                <w:szCs w:val="24"/>
              </w:rPr>
              <w:t>ODS 11</w:t>
            </w:r>
          </w:p>
        </w:tc>
        <w:tc>
          <w:tcPr>
            <w:tcW w:w="2600" w:type="dxa"/>
          </w:tcPr>
          <w:p w14:paraId="1FB07092"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11.7 — Espacios públicos seguros e inclusivos</w:t>
            </w:r>
          </w:p>
        </w:tc>
        <w:tc>
          <w:tcPr>
            <w:tcW w:w="5360" w:type="dxa"/>
          </w:tcPr>
          <w:p w14:paraId="4EDB52E7"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Historial de parques y aceras; reporte ciudadano de barreras de accesibilidad.</w:t>
            </w:r>
          </w:p>
        </w:tc>
      </w:tr>
      <w:tr w:rsidR="006E64CE" w:rsidRPr="006E64CE" w14:paraId="4715813F" w14:textId="77777777" w:rsidTr="006E64CE">
        <w:tc>
          <w:tcPr>
            <w:cnfStyle w:val="001000000000" w:firstRow="0" w:lastRow="0" w:firstColumn="1" w:lastColumn="0" w:oddVBand="0" w:evenVBand="0" w:oddHBand="0" w:evenHBand="0" w:firstRowFirstColumn="0" w:firstRowLastColumn="0" w:lastRowFirstColumn="0" w:lastRowLastColumn="0"/>
            <w:tcW w:w="1400" w:type="dxa"/>
          </w:tcPr>
          <w:p w14:paraId="08DE3787" w14:textId="77777777" w:rsidR="006E64CE" w:rsidRPr="006E64CE" w:rsidRDefault="006E64CE" w:rsidP="006E64CE">
            <w:pPr>
              <w:jc w:val="both"/>
              <w:rPr>
                <w:color w:val="000000" w:themeColor="text1"/>
                <w:sz w:val="24"/>
                <w:szCs w:val="24"/>
              </w:rPr>
            </w:pPr>
            <w:r w:rsidRPr="006E64CE">
              <w:rPr>
                <w:b w:val="0"/>
                <w:bCs w:val="0"/>
                <w:color w:val="000000" w:themeColor="text1"/>
                <w:sz w:val="24"/>
                <w:szCs w:val="24"/>
              </w:rPr>
              <w:t>ODS 11</w:t>
            </w:r>
          </w:p>
        </w:tc>
        <w:tc>
          <w:tcPr>
            <w:tcW w:w="2600" w:type="dxa"/>
          </w:tcPr>
          <w:p w14:paraId="5004D91C"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11.b — Gestión integrada de riesgo de desastres</w:t>
            </w:r>
          </w:p>
        </w:tc>
        <w:tc>
          <w:tcPr>
            <w:tcW w:w="5360" w:type="dxa"/>
          </w:tcPr>
          <w:p w14:paraId="6509E14F"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Modo Temporada Ciclónica; integración con COE/INDOMET.</w:t>
            </w:r>
          </w:p>
        </w:tc>
      </w:tr>
      <w:tr w:rsidR="006E64CE" w:rsidRPr="006E64CE" w14:paraId="7D628468" w14:textId="77777777" w:rsidTr="006E64CE">
        <w:tc>
          <w:tcPr>
            <w:cnfStyle w:val="001000000000" w:firstRow="0" w:lastRow="0" w:firstColumn="1" w:lastColumn="0" w:oddVBand="0" w:evenVBand="0" w:oddHBand="0" w:evenHBand="0" w:firstRowFirstColumn="0" w:firstRowLastColumn="0" w:lastRowFirstColumn="0" w:lastRowLastColumn="0"/>
            <w:tcW w:w="1400" w:type="dxa"/>
          </w:tcPr>
          <w:p w14:paraId="1F0C16CB" w14:textId="77777777" w:rsidR="006E64CE" w:rsidRPr="006E64CE" w:rsidRDefault="006E64CE" w:rsidP="006E64CE">
            <w:pPr>
              <w:jc w:val="both"/>
              <w:rPr>
                <w:color w:val="000000" w:themeColor="text1"/>
                <w:sz w:val="24"/>
                <w:szCs w:val="24"/>
              </w:rPr>
            </w:pPr>
            <w:r w:rsidRPr="006E64CE">
              <w:rPr>
                <w:b w:val="0"/>
                <w:bCs w:val="0"/>
                <w:color w:val="000000" w:themeColor="text1"/>
                <w:sz w:val="24"/>
                <w:szCs w:val="24"/>
              </w:rPr>
              <w:t>ODS 9</w:t>
            </w:r>
          </w:p>
        </w:tc>
        <w:tc>
          <w:tcPr>
            <w:tcW w:w="2600" w:type="dxa"/>
          </w:tcPr>
          <w:p w14:paraId="2DD33979"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9.1 — Infraestructura fiable, sostenible y de calidad</w:t>
            </w:r>
          </w:p>
        </w:tc>
        <w:tc>
          <w:tcPr>
            <w:tcW w:w="5360" w:type="dxa"/>
          </w:tcPr>
          <w:p w14:paraId="1B5094A0"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Historial digital por activo como capa de trazabilidad y auditoría de la infraestructura física.</w:t>
            </w:r>
          </w:p>
        </w:tc>
      </w:tr>
      <w:tr w:rsidR="006E64CE" w:rsidRPr="006E64CE" w14:paraId="77A196EE" w14:textId="77777777" w:rsidTr="006E64CE">
        <w:tc>
          <w:tcPr>
            <w:cnfStyle w:val="001000000000" w:firstRow="0" w:lastRow="0" w:firstColumn="1" w:lastColumn="0" w:oddVBand="0" w:evenVBand="0" w:oddHBand="0" w:evenHBand="0" w:firstRowFirstColumn="0" w:firstRowLastColumn="0" w:lastRowFirstColumn="0" w:lastRowLastColumn="0"/>
            <w:tcW w:w="1400" w:type="dxa"/>
          </w:tcPr>
          <w:p w14:paraId="477E7228" w14:textId="77777777" w:rsidR="006E64CE" w:rsidRPr="006E64CE" w:rsidRDefault="006E64CE" w:rsidP="006E64CE">
            <w:pPr>
              <w:jc w:val="both"/>
              <w:rPr>
                <w:color w:val="000000" w:themeColor="text1"/>
                <w:sz w:val="24"/>
                <w:szCs w:val="24"/>
              </w:rPr>
            </w:pPr>
            <w:r w:rsidRPr="006E64CE">
              <w:rPr>
                <w:b w:val="0"/>
                <w:bCs w:val="0"/>
                <w:color w:val="000000" w:themeColor="text1"/>
                <w:sz w:val="24"/>
                <w:szCs w:val="24"/>
              </w:rPr>
              <w:t>ODS 9</w:t>
            </w:r>
          </w:p>
        </w:tc>
        <w:tc>
          <w:tcPr>
            <w:tcW w:w="2600" w:type="dxa"/>
          </w:tcPr>
          <w:p w14:paraId="58EE436B"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9.4 — Eficiencia en el uso de recursos</w:t>
            </w:r>
          </w:p>
        </w:tc>
        <w:tc>
          <w:tcPr>
            <w:tcW w:w="5360" w:type="dxa"/>
          </w:tcPr>
          <w:p w14:paraId="479D465F"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Mantenimiento predictivo (baches, luminarias) que reduce desperdicio de materiales y horas-hombre.</w:t>
            </w:r>
          </w:p>
        </w:tc>
      </w:tr>
      <w:tr w:rsidR="006E64CE" w:rsidRPr="006E64CE" w14:paraId="5B8235AF" w14:textId="77777777" w:rsidTr="006E64CE">
        <w:tc>
          <w:tcPr>
            <w:cnfStyle w:val="001000000000" w:firstRow="0" w:lastRow="0" w:firstColumn="1" w:lastColumn="0" w:oddVBand="0" w:evenVBand="0" w:oddHBand="0" w:evenHBand="0" w:firstRowFirstColumn="0" w:firstRowLastColumn="0" w:lastRowFirstColumn="0" w:lastRowLastColumn="0"/>
            <w:tcW w:w="1400" w:type="dxa"/>
          </w:tcPr>
          <w:p w14:paraId="0D28224C" w14:textId="77777777" w:rsidR="006E64CE" w:rsidRPr="006E64CE" w:rsidRDefault="006E64CE" w:rsidP="006E64CE">
            <w:pPr>
              <w:jc w:val="both"/>
              <w:rPr>
                <w:color w:val="000000" w:themeColor="text1"/>
                <w:sz w:val="24"/>
                <w:szCs w:val="24"/>
              </w:rPr>
            </w:pPr>
            <w:r w:rsidRPr="006E64CE">
              <w:rPr>
                <w:b w:val="0"/>
                <w:bCs w:val="0"/>
                <w:color w:val="000000" w:themeColor="text1"/>
                <w:sz w:val="24"/>
                <w:szCs w:val="24"/>
              </w:rPr>
              <w:t>ODS 9</w:t>
            </w:r>
          </w:p>
        </w:tc>
        <w:tc>
          <w:tcPr>
            <w:tcW w:w="2600" w:type="dxa"/>
          </w:tcPr>
          <w:p w14:paraId="57B87E6C"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9.c — Acceso a TIC</w:t>
            </w:r>
          </w:p>
        </w:tc>
        <w:tc>
          <w:tcPr>
            <w:tcW w:w="5360" w:type="dxa"/>
          </w:tcPr>
          <w:p w14:paraId="5BD6D3A5" w14:textId="77777777" w:rsidR="006E64CE" w:rsidRPr="006E64CE" w:rsidRDefault="006E64CE" w:rsidP="006E64C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E64CE">
              <w:rPr>
                <w:color w:val="000000" w:themeColor="text1"/>
                <w:sz w:val="24"/>
                <w:szCs w:val="24"/>
              </w:rPr>
              <w:t>APIs abiertas e interoperables; potencial integración con el Portal de Datos Abiertos de la RD.</w:t>
            </w:r>
          </w:p>
        </w:tc>
      </w:tr>
    </w:tbl>
    <w:p w14:paraId="590434A2" w14:textId="0771330F" w:rsidR="006E64CE" w:rsidRPr="006E64CE" w:rsidRDefault="006E64CE" w:rsidP="006E64CE">
      <w:pPr>
        <w:jc w:val="both"/>
        <w:rPr>
          <w:color w:val="000000" w:themeColor="text1"/>
          <w:sz w:val="24"/>
          <w:szCs w:val="24"/>
        </w:rPr>
      </w:pPr>
      <w:r w:rsidRPr="006E64CE">
        <w:rPr>
          <w:color w:val="000000" w:themeColor="text1"/>
          <w:sz w:val="24"/>
          <w:szCs w:val="24"/>
        </w:rPr>
        <w:br w:type="page"/>
      </w:r>
    </w:p>
    <w:p w14:paraId="2D8DD875" w14:textId="77777777" w:rsidR="006E64CE" w:rsidRPr="006E64CE" w:rsidRDefault="006E64CE" w:rsidP="006E64CE">
      <w:pPr>
        <w:pStyle w:val="Heading1"/>
      </w:pPr>
      <w:bookmarkStart w:id="13" w:name="_Toc234437352"/>
      <w:r w:rsidRPr="006E64CE">
        <w:lastRenderedPageBreak/>
        <w:t>3. Adaptación al Contexto de la República Dominicana</w:t>
      </w:r>
      <w:bookmarkEnd w:id="13"/>
    </w:p>
    <w:p w14:paraId="10564AE0" w14:textId="77777777" w:rsidR="006E64CE" w:rsidRPr="006E64CE" w:rsidRDefault="006E64CE" w:rsidP="006E64CE">
      <w:pPr>
        <w:pStyle w:val="Heading2"/>
      </w:pPr>
      <w:bookmarkStart w:id="14" w:name="_Toc234437353"/>
      <w:r w:rsidRPr="006E64CE">
        <w:t>3.1 Gestión de Imprevistos Climáticos (Temporada Ciclónica)</w:t>
      </w:r>
      <w:bookmarkEnd w:id="14"/>
    </w:p>
    <w:p w14:paraId="598331F0"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La temporada ciclónica oficial del Atlántico y el Caribe se extiende del 1 de junio al 30 de noviembre. Durante este periodo, el Centro de Operaciones de Emergencias (COE) emite alertas de nivel verde, amarillo o rojo por provincia con base en los pronósticos de precipitación del Instituto Dominicano de Meteorología (INDOMET, anteriormente ONAMET).</w:t>
      </w:r>
    </w:p>
    <w:p w14:paraId="191FB7BB"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Categoría de reporte dedicada: </w:t>
      </w:r>
      <w:r w:rsidRPr="006E64CE">
        <w:rPr>
          <w:color w:val="000000" w:themeColor="text1"/>
          <w:sz w:val="24"/>
          <w:szCs w:val="24"/>
        </w:rPr>
        <w:t>“Imbornal Tapado / Cañada con Riesgo de Desborde”, con capacidad de adjuntar múltiples fotografías para documentar acumulación de sedimentos o basura, y un nivel de riesgo percibido por el ciudadano.</w:t>
      </w:r>
    </w:p>
    <w:p w14:paraId="70D837DA"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Modo Temporada Ciclónica: </w:t>
      </w:r>
      <w:r w:rsidRPr="006E64CE">
        <w:rPr>
          <w:color w:val="000000" w:themeColor="text1"/>
          <w:sz w:val="24"/>
          <w:szCs w:val="24"/>
        </w:rPr>
        <w:t>cuando el COE/INDOMET eleva la alerta de una provincia, el sistema activa automáticamente una priorización especial que sube al tope de la cola todos los reportes de imbornales, cañadas y postes eléctricos en riesgo dentro de las zonas alertadas, y habilita un mapa público de puntos históricos de inundación (como las cañadas de Cristo Rey y de la calle 17, entre otras zonas de Santo Domingo con antecedentes documentados de desborde).</w:t>
      </w:r>
    </w:p>
    <w:p w14:paraId="31E3ABDE"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Mantenimiento preventivo estacional: </w:t>
      </w:r>
      <w:r w:rsidRPr="006E64CE">
        <w:rPr>
          <w:color w:val="000000" w:themeColor="text1"/>
          <w:sz w:val="24"/>
          <w:szCs w:val="24"/>
        </w:rPr>
        <w:t>generación automática de órdenes de limpieza de imbornales entre abril y mayo, previo al inicio de la temporada, usando el historial de intervenciones de años anteriores como base de priorización predictiva.</w:t>
      </w:r>
    </w:p>
    <w:p w14:paraId="06453F4A"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Capa de datos climáticos: </w:t>
      </w:r>
      <w:r w:rsidRPr="006E64CE">
        <w:rPr>
          <w:color w:val="000000" w:themeColor="text1"/>
          <w:sz w:val="24"/>
          <w:szCs w:val="24"/>
        </w:rPr>
        <w:t>consumo de los boletines de INDOMET para correlacionar acumulados de lluvia por sector con la probabilidad de obstrucción, alimentando el mismo motor predictivo descrito en el módulo 1.1.1.</w:t>
      </w:r>
    </w:p>
    <w:p w14:paraId="2999B2FB" w14:textId="77777777" w:rsidR="006E64CE" w:rsidRPr="006E64CE" w:rsidRDefault="006E64CE" w:rsidP="006E64CE">
      <w:pPr>
        <w:pStyle w:val="Heading2"/>
      </w:pPr>
      <w:bookmarkStart w:id="15" w:name="_Toc234437354"/>
      <w:r w:rsidRPr="006E64CE">
        <w:t>3.2 Infraestructura Vial Típica de Santo Domingo</w:t>
      </w:r>
      <w:bookmarkEnd w:id="15"/>
    </w:p>
    <w:p w14:paraId="08740A66"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El modelo de datos de activos contempla las tipologías viales propias de la ciudad: avenidas primarias de alto flujo (27 de Febrero, John F. Kennedy, Winston Churchill, Máximo Gómez), corredores con elevados y pasos a desnivel, la red de aceras y cruces peatonales alrededor de las estaciones del Metro de Santo Domingo (operado por la OPRET), los carriles del sistema OMSA y futuros corredores de transporte masivo, y la vialidad secundaria de barrios con trazado irregular.</w:t>
      </w:r>
    </w:p>
    <w:p w14:paraId="66BF9BE8"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El modelo incorpora atributos específicos del entorno dominicano, como el tipo de superficie (asfalto, concreto, adoquín), la presencia de motoconchos como usuarios viales relevantes para categorizar el riesgo en reportes de baches y señalización, y la proximidad a paradas de OMSA para priorizar la reparación de aceras y rampas de accesibilidad.</w:t>
      </w:r>
    </w:p>
    <w:p w14:paraId="5FCCFD9A"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 xml:space="preserve">En materia de gobernanza, UrbanSync reconoce que la red semafórica de la ciudad es gestionada por el INTRANT (Instituto Nacional de Tránsito y Transporte Terrestre), adscrito al Ministerio de Obras Públicas y Comunicaciones (MOPC). La plataforma no </w:t>
      </w:r>
      <w:r w:rsidRPr="006E64CE">
        <w:rPr>
          <w:color w:val="000000" w:themeColor="text1"/>
          <w:sz w:val="24"/>
          <w:szCs w:val="24"/>
        </w:rPr>
        <w:lastRenderedPageBreak/>
        <w:t>reemplaza esa gobernanza institucional, sino que actúa como capa de reporte y seguimiento que enruta automáticamente cada orden al organismo competente: la ADN para mobiliario urbano, aceras y parques; el INTRANT/MOPC para semáforos y señalización vial; y las empresas distribuidoras eléctricas para el suministro de energía a las luminarias.</w:t>
      </w:r>
    </w:p>
    <w:p w14:paraId="5629F37B" w14:textId="77777777" w:rsidR="006E64CE" w:rsidRPr="006E64CE" w:rsidRDefault="006E64CE" w:rsidP="006E64CE">
      <w:pPr>
        <w:pStyle w:val="Heading2"/>
      </w:pPr>
      <w:bookmarkStart w:id="16" w:name="_Toc234437355"/>
      <w:r w:rsidRPr="006E64CE">
        <w:t>3.3 Interoperabilidad con Sistemas de Emergencia Locales (911)</w:t>
      </w:r>
      <w:bookmarkEnd w:id="16"/>
    </w:p>
    <w:p w14:paraId="226E9D29"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t>El Sistema Nacional de Atención a Emergencias y Seguridad 9-1-1 coordina de forma centralizada a la Policía Nacional, el Cuerpo de Bomberos, la Dirección General de Seguridad de Tránsito y Transporte Terrestre (DIGESETT), el servicio de atención médica de emergencias, la Cruz Roja Dominicana, la Defensa Civil y el propio COE, mediante un modelo de despacho coordinado y de interoperabilidad de radiocomunicaciones que ya opera en la mayor parte del territorio nacional.</w:t>
      </w:r>
    </w:p>
    <w:p w14:paraId="089001D1"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Diseño de integración propuesto: </w:t>
      </w:r>
      <w:r w:rsidRPr="006E64CE">
        <w:rPr>
          <w:color w:val="000000" w:themeColor="text1"/>
          <w:sz w:val="24"/>
          <w:szCs w:val="24"/>
        </w:rPr>
        <w:t>UrbanSync expone un webhook/API REST que, para reportes clasificados como “Prioridad Crítica — Riesgo a la Vida” (cables energizados caídos en la vía, hueco de gran profundidad en vía rápida, semáforo apagado en intersección de alta siniestralidad, árbol caído sobre tendido eléctrico), genera automáticamente un evento estructurado —ubicación, categoría, evidencia fotográfica y timestamp— que se transmite hacia la red de instituciones enlazadas al 911, permitiendo un despacho más ágil que el canal de llamada telefónica convencional.</w:t>
      </w:r>
    </w:p>
    <w:p w14:paraId="17A27330"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Sincronización bidireccional de estado: </w:t>
      </w:r>
      <w:r w:rsidRPr="006E64CE">
        <w:rPr>
          <w:color w:val="000000" w:themeColor="text1"/>
          <w:sz w:val="24"/>
          <w:szCs w:val="24"/>
        </w:rPr>
        <w:t>cuando el 911/COE atiende un incidente que involucra un activo público monitoreado por UrbanSync —por ejemplo, un poste derribado en un accidente de tránsito reportado vía DIGESETT—, el estado se refleja automáticamente en el historial digital del activo, evitando reportes duplicados y garantizando trazabilidad completa desde la emergencia hasta la reparación definitiva.</w:t>
      </w:r>
    </w:p>
    <w:p w14:paraId="4E29BE1F" w14:textId="77777777" w:rsidR="006E64CE" w:rsidRPr="006E64CE" w:rsidRDefault="006E64CE" w:rsidP="006E64CE">
      <w:pPr>
        <w:pStyle w:val="ListParagraph"/>
        <w:numPr>
          <w:ilvl w:val="0"/>
          <w:numId w:val="1"/>
        </w:numPr>
        <w:spacing w:after="100" w:line="276" w:lineRule="auto"/>
        <w:contextualSpacing w:val="0"/>
        <w:jc w:val="both"/>
        <w:rPr>
          <w:color w:val="000000" w:themeColor="text1"/>
          <w:sz w:val="24"/>
          <w:szCs w:val="24"/>
        </w:rPr>
      </w:pPr>
      <w:r w:rsidRPr="006E64CE">
        <w:rPr>
          <w:b/>
          <w:bCs/>
          <w:color w:val="000000" w:themeColor="text1"/>
          <w:sz w:val="24"/>
          <w:szCs w:val="24"/>
        </w:rPr>
        <w:t xml:space="preserve">Gobernanza de datos: </w:t>
      </w:r>
      <w:r w:rsidRPr="006E64CE">
        <w:rPr>
          <w:color w:val="000000" w:themeColor="text1"/>
          <w:sz w:val="24"/>
          <w:szCs w:val="24"/>
        </w:rPr>
        <w:t>el intercambio de información respeta el marco de la Ley 172-13 de Protección de Datos Personales, compartiendo únicamente los datos operativos estrictamente necesarios (ubicación, categoría, evidencia) sin exponer la identidad del ciudadano reportante a terceros fuera del ecosistema de instituciones de respuesta.</w:t>
      </w:r>
    </w:p>
    <w:p w14:paraId="73F2EB05" w14:textId="77777777" w:rsidR="006E64CE" w:rsidRDefault="006E64CE" w:rsidP="006E64CE">
      <w:pPr>
        <w:pStyle w:val="Heading1"/>
      </w:pPr>
      <w:bookmarkStart w:id="17" w:name="_Toc234437356"/>
    </w:p>
    <w:p w14:paraId="2EC32034" w14:textId="77777777" w:rsidR="006E64CE" w:rsidRDefault="006E64CE" w:rsidP="006E64CE">
      <w:pPr>
        <w:pStyle w:val="Heading1"/>
      </w:pPr>
    </w:p>
    <w:p w14:paraId="26E5F657" w14:textId="77777777" w:rsidR="006E64CE" w:rsidRDefault="006E64CE" w:rsidP="006E64CE">
      <w:pPr>
        <w:pStyle w:val="Heading1"/>
      </w:pPr>
    </w:p>
    <w:p w14:paraId="25D6AA6D" w14:textId="77777777" w:rsidR="006E64CE" w:rsidRDefault="006E64CE" w:rsidP="006E64CE">
      <w:pPr>
        <w:pStyle w:val="Heading1"/>
      </w:pPr>
    </w:p>
    <w:p w14:paraId="4C7238E4" w14:textId="77777777" w:rsidR="006E64CE" w:rsidRDefault="006E64CE" w:rsidP="006E64CE">
      <w:pPr>
        <w:pStyle w:val="Heading1"/>
      </w:pPr>
    </w:p>
    <w:p w14:paraId="17997522" w14:textId="77777777" w:rsidR="006E64CE" w:rsidRDefault="006E64CE" w:rsidP="006E64CE">
      <w:pPr>
        <w:pStyle w:val="Heading1"/>
      </w:pPr>
    </w:p>
    <w:p w14:paraId="316FA087" w14:textId="77777777" w:rsidR="006E64CE" w:rsidRDefault="006E64CE" w:rsidP="006E64CE">
      <w:pPr>
        <w:pStyle w:val="Heading1"/>
      </w:pPr>
    </w:p>
    <w:p w14:paraId="75F8B5EA" w14:textId="77777777" w:rsidR="006E64CE" w:rsidRDefault="006E64CE" w:rsidP="006E64CE">
      <w:pPr>
        <w:pStyle w:val="Heading1"/>
      </w:pPr>
    </w:p>
    <w:p w14:paraId="2725F418" w14:textId="226E211A" w:rsidR="006E64CE" w:rsidRPr="006E64CE" w:rsidRDefault="006E64CE" w:rsidP="006E64CE">
      <w:pPr>
        <w:pStyle w:val="Heading1"/>
      </w:pPr>
      <w:r w:rsidRPr="006E64CE">
        <w:t>4. Arquitectura de Pantallas Requeridas</w:t>
      </w:r>
      <w:bookmarkEnd w:id="17"/>
    </w:p>
    <w:p w14:paraId="3219AEF2" w14:textId="77777777" w:rsidR="006E64CE" w:rsidRPr="006E64CE" w:rsidRDefault="006E64CE" w:rsidP="006E64CE">
      <w:pPr>
        <w:spacing w:after="160" w:line="276" w:lineRule="auto"/>
        <w:jc w:val="both"/>
        <w:rPr>
          <w:color w:val="000000" w:themeColor="text1"/>
          <w:sz w:val="24"/>
          <w:szCs w:val="24"/>
        </w:rPr>
      </w:pPr>
      <w:r w:rsidRPr="006E64CE">
        <w:rPr>
          <w:color w:val="000000" w:themeColor="text1"/>
          <w:sz w:val="24"/>
          <w:szCs w:val="24"/>
        </w:rPr>
        <w:lastRenderedPageBreak/>
        <w:t>La arquitectura de pantallas se organiza en tres experiencias diferenciadas por rol, que comparten un mismo sistema de diseño pero difieren en objetivos, dispositivo objetivo y patrones de interacción.</w:t>
      </w:r>
    </w:p>
    <w:p w14:paraId="1E595328" w14:textId="77777777" w:rsidR="006E64CE" w:rsidRPr="006E64CE" w:rsidRDefault="006E64CE" w:rsidP="006E64CE">
      <w:pPr>
        <w:pStyle w:val="Heading2"/>
      </w:pPr>
      <w:bookmarkStart w:id="18" w:name="_Toc234437357"/>
      <w:r w:rsidRPr="006E64CE">
        <w:t>4.1 Portal del Ciudadano (Web / Mobile)</w:t>
      </w:r>
      <w:bookmarkEnd w:id="18"/>
    </w:p>
    <w:p w14:paraId="63D7E5D1"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b/>
          <w:bCs/>
          <w:color w:val="000000" w:themeColor="text1"/>
          <w:sz w:val="24"/>
          <w:szCs w:val="24"/>
        </w:rPr>
        <w:t xml:space="preserve">Bienvenida / Onboarding — </w:t>
      </w:r>
      <w:r w:rsidRPr="006E64CE">
        <w:rPr>
          <w:color w:val="000000" w:themeColor="text1"/>
          <w:sz w:val="24"/>
          <w:szCs w:val="24"/>
        </w:rPr>
        <w:t>presentación de la propuesta de valor, con opción de continuar como invitado (modo consulta) o crear una cuenta.</w:t>
      </w:r>
    </w:p>
    <w:p w14:paraId="6C987D48"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b/>
          <w:bCs/>
          <w:color w:val="000000" w:themeColor="text1"/>
          <w:sz w:val="24"/>
          <w:szCs w:val="24"/>
        </w:rPr>
        <w:t xml:space="preserve">Registro / Inicio de Sesión — </w:t>
      </w:r>
      <w:r w:rsidRPr="006E64CE">
        <w:rPr>
          <w:color w:val="000000" w:themeColor="text1"/>
          <w:sz w:val="24"/>
          <w:szCs w:val="24"/>
        </w:rPr>
        <w:t>validación opcional de cédula (para trazabilidad de incentivos) y asociación al perfil de barrio o circunscripción.</w:t>
      </w:r>
    </w:p>
    <w:p w14:paraId="310B24C0"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b/>
          <w:bCs/>
          <w:color w:val="000000" w:themeColor="text1"/>
          <w:sz w:val="24"/>
          <w:szCs w:val="24"/>
        </w:rPr>
        <w:t xml:space="preserve">Mapa Principal (Home) — </w:t>
      </w:r>
      <w:r w:rsidRPr="006E64CE">
        <w:rPr>
          <w:color w:val="000000" w:themeColor="text1"/>
          <w:sz w:val="24"/>
          <w:szCs w:val="24"/>
        </w:rPr>
        <w:t>mapa interactivo con capas de activos (semáforos, postes, parques, vías) y capa de reportes activos, con filtros por categoría y estado.</w:t>
      </w:r>
    </w:p>
    <w:p w14:paraId="138D9B51"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b/>
          <w:bCs/>
          <w:color w:val="000000" w:themeColor="text1"/>
          <w:sz w:val="24"/>
          <w:szCs w:val="24"/>
        </w:rPr>
        <w:t xml:space="preserve">Crear Reporte — </w:t>
      </w:r>
      <w:r w:rsidRPr="006E64CE">
        <w:rPr>
          <w:color w:val="000000" w:themeColor="text1"/>
          <w:sz w:val="24"/>
          <w:szCs w:val="24"/>
        </w:rPr>
        <w:t>cámara integrada, geolocalización automática, selector de categoría, campo de descripción y, durante la temporada ciclónica, un banner destacado para la categoría “Imbornal/Cañada”.</w:t>
      </w:r>
    </w:p>
    <w:p w14:paraId="3A8C236E"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b/>
          <w:bCs/>
          <w:color w:val="000000" w:themeColor="text1"/>
          <w:sz w:val="24"/>
          <w:szCs w:val="24"/>
        </w:rPr>
        <w:t xml:space="preserve">Confirmación y Seguimiento del Reporte — </w:t>
      </w:r>
      <w:r w:rsidRPr="006E64CE">
        <w:rPr>
          <w:color w:val="000000" w:themeColor="text1"/>
          <w:sz w:val="24"/>
          <w:szCs w:val="24"/>
        </w:rPr>
        <w:t>número de ticket y línea de tiempo de estados, con fotos antes/después al momento del cierre.</w:t>
      </w:r>
    </w:p>
    <w:p w14:paraId="2D3804DC"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b/>
          <w:bCs/>
          <w:color w:val="000000" w:themeColor="text1"/>
          <w:sz w:val="24"/>
          <w:szCs w:val="24"/>
        </w:rPr>
        <w:t xml:space="preserve">Mis Reportes — </w:t>
      </w:r>
      <w:r w:rsidRPr="006E64CE">
        <w:rPr>
          <w:color w:val="000000" w:themeColor="text1"/>
          <w:sz w:val="24"/>
          <w:szCs w:val="24"/>
        </w:rPr>
        <w:t>historial personal con estado actual y puntos obtenidos por cada reporte.</w:t>
      </w:r>
    </w:p>
    <w:p w14:paraId="591F33DA"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b/>
          <w:bCs/>
          <w:color w:val="000000" w:themeColor="text1"/>
          <w:sz w:val="24"/>
          <w:szCs w:val="24"/>
        </w:rPr>
        <w:t xml:space="preserve">Perfil y Gamificación — </w:t>
      </w:r>
      <w:r w:rsidRPr="006E64CE">
        <w:rPr>
          <w:color w:val="000000" w:themeColor="text1"/>
          <w:sz w:val="24"/>
          <w:szCs w:val="24"/>
        </w:rPr>
        <w:t>SyncPoints acumulados, insignias, ranking del barrio y catálogo de incentivos canjeables.</w:t>
      </w:r>
    </w:p>
    <w:p w14:paraId="1D151A6C"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b/>
          <w:bCs/>
          <w:color w:val="000000" w:themeColor="text1"/>
          <w:sz w:val="24"/>
          <w:szCs w:val="24"/>
        </w:rPr>
        <w:t xml:space="preserve">Mapa Comunitario / Reportes Cercanos — </w:t>
      </w:r>
      <w:r w:rsidRPr="006E64CE">
        <w:rPr>
          <w:color w:val="000000" w:themeColor="text1"/>
          <w:sz w:val="24"/>
          <w:szCs w:val="24"/>
        </w:rPr>
        <w:t>mapa de calor de incidencias reportadas por otros vecinos, con opción de confirmar (upvote) reportes existentes en lugar de duplicarlos.</w:t>
      </w:r>
    </w:p>
    <w:p w14:paraId="4DA36E1C"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b/>
          <w:bCs/>
          <w:color w:val="000000" w:themeColor="text1"/>
          <w:sz w:val="24"/>
          <w:szCs w:val="24"/>
        </w:rPr>
        <w:t xml:space="preserve">Centro de Alertas Climáticas — </w:t>
      </w:r>
      <w:r w:rsidRPr="006E64CE">
        <w:rPr>
          <w:color w:val="000000" w:themeColor="text1"/>
          <w:sz w:val="24"/>
          <w:szCs w:val="24"/>
        </w:rPr>
        <w:t>boletines de INDOMET/COE, estado de alerta vigente por provincia y accesos directos para reportar imbornales o cañadas.</w:t>
      </w:r>
    </w:p>
    <w:p w14:paraId="11C40FF3" w14:textId="77777777" w:rsidR="006E64CE" w:rsidRPr="006E64CE" w:rsidRDefault="006E64CE" w:rsidP="006E64CE">
      <w:pPr>
        <w:pStyle w:val="ListParagraph"/>
        <w:numPr>
          <w:ilvl w:val="0"/>
          <w:numId w:val="2"/>
        </w:numPr>
        <w:spacing w:after="100" w:line="276" w:lineRule="auto"/>
        <w:contextualSpacing w:val="0"/>
        <w:jc w:val="both"/>
        <w:rPr>
          <w:color w:val="000000" w:themeColor="text1"/>
          <w:sz w:val="24"/>
          <w:szCs w:val="24"/>
        </w:rPr>
      </w:pPr>
      <w:r w:rsidRPr="006E64CE">
        <w:rPr>
          <w:b/>
          <w:bCs/>
          <w:color w:val="000000" w:themeColor="text1"/>
          <w:sz w:val="24"/>
          <w:szCs w:val="24"/>
        </w:rPr>
        <w:t xml:space="preserve">Notificaciones — </w:t>
      </w:r>
      <w:r w:rsidRPr="006E64CE">
        <w:rPr>
          <w:color w:val="000000" w:themeColor="text1"/>
          <w:sz w:val="24"/>
          <w:szCs w:val="24"/>
        </w:rPr>
        <w:t>push/email de cambios de estado, cierre de reporte y logros de gamificación.</w:t>
      </w:r>
    </w:p>
    <w:p w14:paraId="29A4A6B5" w14:textId="77777777" w:rsidR="006E64CE" w:rsidRPr="006E64CE" w:rsidRDefault="006E64CE" w:rsidP="006E64CE">
      <w:pPr>
        <w:pStyle w:val="Heading2"/>
      </w:pPr>
      <w:bookmarkStart w:id="19" w:name="_Toc234437358"/>
      <w:r w:rsidRPr="006E64CE">
        <w:t>4.2 App del Técnico de Campo (Mobile, offline-first)</w:t>
      </w:r>
      <w:bookmarkEnd w:id="19"/>
    </w:p>
    <w:p w14:paraId="2C9C47E5" w14:textId="77777777" w:rsidR="006E64CE" w:rsidRPr="006E64CE" w:rsidRDefault="006E64CE" w:rsidP="006E64CE">
      <w:pPr>
        <w:pStyle w:val="ListParagraph"/>
        <w:numPr>
          <w:ilvl w:val="0"/>
          <w:numId w:val="3"/>
        </w:numPr>
        <w:spacing w:after="100" w:line="276" w:lineRule="auto"/>
        <w:contextualSpacing w:val="0"/>
        <w:jc w:val="both"/>
        <w:rPr>
          <w:color w:val="000000" w:themeColor="text1"/>
          <w:sz w:val="24"/>
          <w:szCs w:val="24"/>
        </w:rPr>
      </w:pPr>
      <w:r w:rsidRPr="006E64CE">
        <w:rPr>
          <w:b/>
          <w:bCs/>
          <w:color w:val="000000" w:themeColor="text1"/>
          <w:sz w:val="24"/>
          <w:szCs w:val="24"/>
        </w:rPr>
        <w:t xml:space="preserve">Inicio de Turno / Login — </w:t>
      </w:r>
      <w:r w:rsidRPr="006E64CE">
        <w:rPr>
          <w:color w:val="000000" w:themeColor="text1"/>
          <w:sz w:val="24"/>
          <w:szCs w:val="24"/>
        </w:rPr>
        <w:t>selección de cuadrilla, vehículo asignado e inventario de materiales cargado.</w:t>
      </w:r>
    </w:p>
    <w:p w14:paraId="027EE361" w14:textId="77777777" w:rsidR="006E64CE" w:rsidRPr="006E64CE" w:rsidRDefault="006E64CE" w:rsidP="006E64CE">
      <w:pPr>
        <w:pStyle w:val="ListParagraph"/>
        <w:numPr>
          <w:ilvl w:val="0"/>
          <w:numId w:val="3"/>
        </w:numPr>
        <w:spacing w:after="100" w:line="276" w:lineRule="auto"/>
        <w:contextualSpacing w:val="0"/>
        <w:jc w:val="both"/>
        <w:rPr>
          <w:color w:val="000000" w:themeColor="text1"/>
          <w:sz w:val="24"/>
          <w:szCs w:val="24"/>
        </w:rPr>
      </w:pPr>
      <w:r w:rsidRPr="006E64CE">
        <w:rPr>
          <w:b/>
          <w:bCs/>
          <w:color w:val="000000" w:themeColor="text1"/>
          <w:sz w:val="24"/>
          <w:szCs w:val="24"/>
        </w:rPr>
        <w:t xml:space="preserve">Lista de Órdenes de Trabajo del Día — </w:t>
      </w:r>
      <w:r w:rsidRPr="006E64CE">
        <w:rPr>
          <w:color w:val="000000" w:themeColor="text1"/>
          <w:sz w:val="24"/>
          <w:szCs w:val="24"/>
        </w:rPr>
        <w:t>órdenes priorizadas automáticamente por el módulo de optimización de rutas (1.1.2), con indicador visual de prioridad crítica.</w:t>
      </w:r>
    </w:p>
    <w:p w14:paraId="58E5A2C7" w14:textId="77777777" w:rsidR="006E64CE" w:rsidRPr="006E64CE" w:rsidRDefault="006E64CE" w:rsidP="006E64CE">
      <w:pPr>
        <w:pStyle w:val="ListParagraph"/>
        <w:numPr>
          <w:ilvl w:val="0"/>
          <w:numId w:val="3"/>
        </w:numPr>
        <w:spacing w:after="100" w:line="276" w:lineRule="auto"/>
        <w:contextualSpacing w:val="0"/>
        <w:jc w:val="both"/>
        <w:rPr>
          <w:color w:val="000000" w:themeColor="text1"/>
          <w:sz w:val="24"/>
          <w:szCs w:val="24"/>
        </w:rPr>
      </w:pPr>
      <w:r w:rsidRPr="006E64CE">
        <w:rPr>
          <w:b/>
          <w:bCs/>
          <w:color w:val="000000" w:themeColor="text1"/>
          <w:sz w:val="24"/>
          <w:szCs w:val="24"/>
        </w:rPr>
        <w:t xml:space="preserve">Detalle de Orden — </w:t>
      </w:r>
      <w:r w:rsidRPr="006E64CE">
        <w:rPr>
          <w:color w:val="000000" w:themeColor="text1"/>
          <w:sz w:val="24"/>
          <w:szCs w:val="24"/>
        </w:rPr>
        <w:t>datos del activo, historial completo de intervenciones previas, evidencia del reporte ciudadano original y navegación GPS al sitio.</w:t>
      </w:r>
    </w:p>
    <w:p w14:paraId="7CA2A261" w14:textId="77777777" w:rsidR="006E64CE" w:rsidRPr="006E64CE" w:rsidRDefault="006E64CE" w:rsidP="006E64CE">
      <w:pPr>
        <w:pStyle w:val="ListParagraph"/>
        <w:numPr>
          <w:ilvl w:val="0"/>
          <w:numId w:val="3"/>
        </w:numPr>
        <w:spacing w:after="100" w:line="276" w:lineRule="auto"/>
        <w:contextualSpacing w:val="0"/>
        <w:jc w:val="both"/>
        <w:rPr>
          <w:color w:val="000000" w:themeColor="text1"/>
          <w:sz w:val="24"/>
          <w:szCs w:val="24"/>
        </w:rPr>
      </w:pPr>
      <w:r w:rsidRPr="006E64CE">
        <w:rPr>
          <w:b/>
          <w:bCs/>
          <w:color w:val="000000" w:themeColor="text1"/>
          <w:sz w:val="24"/>
          <w:szCs w:val="24"/>
        </w:rPr>
        <w:t xml:space="preserve">Captura de Evidencia “Antes” — </w:t>
      </w:r>
      <w:r w:rsidRPr="006E64CE">
        <w:rPr>
          <w:color w:val="000000" w:themeColor="text1"/>
          <w:sz w:val="24"/>
          <w:szCs w:val="24"/>
        </w:rPr>
        <w:t>fotografía obligatoria georreferenciada previa al inicio de la intervención.</w:t>
      </w:r>
    </w:p>
    <w:p w14:paraId="063C5E46" w14:textId="77777777" w:rsidR="006E64CE" w:rsidRPr="006E64CE" w:rsidRDefault="006E64CE" w:rsidP="006E64CE">
      <w:pPr>
        <w:pStyle w:val="ListParagraph"/>
        <w:numPr>
          <w:ilvl w:val="0"/>
          <w:numId w:val="3"/>
        </w:numPr>
        <w:spacing w:after="100" w:line="276" w:lineRule="auto"/>
        <w:contextualSpacing w:val="0"/>
        <w:jc w:val="both"/>
        <w:rPr>
          <w:color w:val="000000" w:themeColor="text1"/>
          <w:sz w:val="24"/>
          <w:szCs w:val="24"/>
        </w:rPr>
      </w:pPr>
      <w:r w:rsidRPr="006E64CE">
        <w:rPr>
          <w:b/>
          <w:bCs/>
          <w:color w:val="000000" w:themeColor="text1"/>
          <w:sz w:val="24"/>
          <w:szCs w:val="24"/>
        </w:rPr>
        <w:lastRenderedPageBreak/>
        <w:t xml:space="preserve">Formulario de Intervención — </w:t>
      </w:r>
      <w:r w:rsidRPr="006E64CE">
        <w:rPr>
          <w:color w:val="000000" w:themeColor="text1"/>
          <w:sz w:val="24"/>
          <w:szCs w:val="24"/>
        </w:rPr>
        <w:t>tipo de reparación realizada, materiales/repuestos utilizados (con descuento automático del inventario del módulo 1.1.3), tiempo invertido y notas técnicas.</w:t>
      </w:r>
    </w:p>
    <w:p w14:paraId="54F960A5" w14:textId="77777777" w:rsidR="006E64CE" w:rsidRPr="006E64CE" w:rsidRDefault="006E64CE" w:rsidP="006E64CE">
      <w:pPr>
        <w:pStyle w:val="ListParagraph"/>
        <w:numPr>
          <w:ilvl w:val="0"/>
          <w:numId w:val="3"/>
        </w:numPr>
        <w:spacing w:after="100" w:line="276" w:lineRule="auto"/>
        <w:contextualSpacing w:val="0"/>
        <w:jc w:val="both"/>
        <w:rPr>
          <w:color w:val="000000" w:themeColor="text1"/>
          <w:sz w:val="24"/>
          <w:szCs w:val="24"/>
        </w:rPr>
      </w:pPr>
      <w:r w:rsidRPr="006E64CE">
        <w:rPr>
          <w:b/>
          <w:bCs/>
          <w:color w:val="000000" w:themeColor="text1"/>
          <w:sz w:val="24"/>
          <w:szCs w:val="24"/>
        </w:rPr>
        <w:t xml:space="preserve">Captura de Evidencia “Después” — </w:t>
      </w:r>
      <w:r w:rsidRPr="006E64CE">
        <w:rPr>
          <w:color w:val="000000" w:themeColor="text1"/>
          <w:sz w:val="24"/>
          <w:szCs w:val="24"/>
        </w:rPr>
        <w:t>fotografía obligatoria de cierre, con comparativa automática antes/después.</w:t>
      </w:r>
    </w:p>
    <w:p w14:paraId="7DFD8323" w14:textId="77777777" w:rsidR="006E64CE" w:rsidRPr="006E64CE" w:rsidRDefault="006E64CE" w:rsidP="006E64CE">
      <w:pPr>
        <w:pStyle w:val="ListParagraph"/>
        <w:numPr>
          <w:ilvl w:val="0"/>
          <w:numId w:val="3"/>
        </w:numPr>
        <w:spacing w:after="100" w:line="276" w:lineRule="auto"/>
        <w:contextualSpacing w:val="0"/>
        <w:jc w:val="both"/>
        <w:rPr>
          <w:color w:val="000000" w:themeColor="text1"/>
          <w:sz w:val="24"/>
          <w:szCs w:val="24"/>
        </w:rPr>
      </w:pPr>
      <w:r w:rsidRPr="006E64CE">
        <w:rPr>
          <w:b/>
          <w:bCs/>
          <w:color w:val="000000" w:themeColor="text1"/>
          <w:sz w:val="24"/>
          <w:szCs w:val="24"/>
        </w:rPr>
        <w:t xml:space="preserve">Firma y Cierre de Orden — </w:t>
      </w:r>
      <w:r w:rsidRPr="006E64CE">
        <w:rPr>
          <w:color w:val="000000" w:themeColor="text1"/>
          <w:sz w:val="24"/>
          <w:szCs w:val="24"/>
        </w:rPr>
        <w:t>firma digital del técnico y, cuando aplique, del ciudadano, con envío de la orden cerrada.</w:t>
      </w:r>
    </w:p>
    <w:p w14:paraId="019CD6D2" w14:textId="77777777" w:rsidR="006E64CE" w:rsidRPr="006E64CE" w:rsidRDefault="006E64CE" w:rsidP="006E64CE">
      <w:pPr>
        <w:pStyle w:val="ListParagraph"/>
        <w:numPr>
          <w:ilvl w:val="0"/>
          <w:numId w:val="3"/>
        </w:numPr>
        <w:spacing w:after="100" w:line="276" w:lineRule="auto"/>
        <w:contextualSpacing w:val="0"/>
        <w:jc w:val="both"/>
        <w:rPr>
          <w:color w:val="000000" w:themeColor="text1"/>
          <w:sz w:val="24"/>
          <w:szCs w:val="24"/>
        </w:rPr>
      </w:pPr>
      <w:r w:rsidRPr="006E64CE">
        <w:rPr>
          <w:b/>
          <w:bCs/>
          <w:color w:val="000000" w:themeColor="text1"/>
          <w:sz w:val="24"/>
          <w:szCs w:val="24"/>
        </w:rPr>
        <w:t xml:space="preserve">Inventario del Vehículo — </w:t>
      </w:r>
      <w:r w:rsidRPr="006E64CE">
        <w:rPr>
          <w:color w:val="000000" w:themeColor="text1"/>
          <w:sz w:val="24"/>
          <w:szCs w:val="24"/>
        </w:rPr>
        <w:t>stock de repuestos disponible en el camión de la cuadrilla, con alerta de reabastecimiento.</w:t>
      </w:r>
    </w:p>
    <w:p w14:paraId="78E9E890" w14:textId="77777777" w:rsidR="006E64CE" w:rsidRPr="006E64CE" w:rsidRDefault="006E64CE" w:rsidP="006E64CE">
      <w:pPr>
        <w:pStyle w:val="ListParagraph"/>
        <w:numPr>
          <w:ilvl w:val="0"/>
          <w:numId w:val="3"/>
        </w:numPr>
        <w:spacing w:after="100" w:line="276" w:lineRule="auto"/>
        <w:contextualSpacing w:val="0"/>
        <w:jc w:val="both"/>
        <w:rPr>
          <w:color w:val="000000" w:themeColor="text1"/>
          <w:sz w:val="24"/>
          <w:szCs w:val="24"/>
        </w:rPr>
      </w:pPr>
      <w:r w:rsidRPr="006E64CE">
        <w:rPr>
          <w:b/>
          <w:bCs/>
          <w:color w:val="000000" w:themeColor="text1"/>
          <w:sz w:val="24"/>
          <w:szCs w:val="24"/>
        </w:rPr>
        <w:t xml:space="preserve">Modo Offline / Sincronización — </w:t>
      </w:r>
      <w:r w:rsidRPr="006E64CE">
        <w:rPr>
          <w:color w:val="000000" w:themeColor="text1"/>
          <w:sz w:val="24"/>
          <w:szCs w:val="24"/>
        </w:rPr>
        <w:t>cola de trabajos pendientes de subir cuando no hay conectividad, con sincronización automática al reconectar.</w:t>
      </w:r>
    </w:p>
    <w:p w14:paraId="408BD7F2" w14:textId="77777777" w:rsidR="006E64CE" w:rsidRPr="006E64CE" w:rsidRDefault="006E64CE" w:rsidP="006E64CE">
      <w:pPr>
        <w:pStyle w:val="ListParagraph"/>
        <w:numPr>
          <w:ilvl w:val="0"/>
          <w:numId w:val="3"/>
        </w:numPr>
        <w:spacing w:after="100" w:line="276" w:lineRule="auto"/>
        <w:contextualSpacing w:val="0"/>
        <w:jc w:val="both"/>
        <w:rPr>
          <w:color w:val="000000" w:themeColor="text1"/>
          <w:sz w:val="24"/>
          <w:szCs w:val="24"/>
        </w:rPr>
      </w:pPr>
      <w:r w:rsidRPr="006E64CE">
        <w:rPr>
          <w:b/>
          <w:bCs/>
          <w:color w:val="000000" w:themeColor="text1"/>
          <w:sz w:val="24"/>
          <w:szCs w:val="24"/>
        </w:rPr>
        <w:t xml:space="preserve">Escaneo de Activo (QR/NFC) — </w:t>
      </w:r>
      <w:r w:rsidRPr="006E64CE">
        <w:rPr>
          <w:color w:val="000000" w:themeColor="text1"/>
          <w:sz w:val="24"/>
          <w:szCs w:val="24"/>
        </w:rPr>
        <w:t>identificación rápida del poste o activo físico para cargar su historial completo.</w:t>
      </w:r>
    </w:p>
    <w:p w14:paraId="4FE8390D" w14:textId="77777777" w:rsidR="006E64CE" w:rsidRPr="006E64CE" w:rsidRDefault="006E64CE" w:rsidP="006E64CE">
      <w:pPr>
        <w:pStyle w:val="Heading2"/>
      </w:pPr>
      <w:bookmarkStart w:id="20" w:name="_Toc234437359"/>
      <w:r w:rsidRPr="006E64CE">
        <w:t>4.3 Dashboard Administrativo / Gubernamental (Web)</w:t>
      </w:r>
      <w:bookmarkEnd w:id="20"/>
    </w:p>
    <w:p w14:paraId="1AE19545" w14:textId="77777777" w:rsidR="006E64CE" w:rsidRPr="006E64CE" w:rsidRDefault="006E64CE" w:rsidP="006E64CE">
      <w:pPr>
        <w:pStyle w:val="ListParagraph"/>
        <w:numPr>
          <w:ilvl w:val="0"/>
          <w:numId w:val="4"/>
        </w:numPr>
        <w:spacing w:after="100" w:line="276" w:lineRule="auto"/>
        <w:contextualSpacing w:val="0"/>
        <w:jc w:val="both"/>
        <w:rPr>
          <w:color w:val="000000" w:themeColor="text1"/>
          <w:sz w:val="24"/>
          <w:szCs w:val="24"/>
        </w:rPr>
      </w:pPr>
      <w:r w:rsidRPr="006E64CE">
        <w:rPr>
          <w:b/>
          <w:bCs/>
          <w:color w:val="000000" w:themeColor="text1"/>
          <w:sz w:val="24"/>
          <w:szCs w:val="24"/>
        </w:rPr>
        <w:t xml:space="preserve">Login con Roles — </w:t>
      </w:r>
      <w:r w:rsidRPr="006E64CE">
        <w:rPr>
          <w:color w:val="000000" w:themeColor="text1"/>
          <w:sz w:val="24"/>
          <w:szCs w:val="24"/>
        </w:rPr>
        <w:t>supervisor de zona, director de infraestructura y alcaldía/gerencia, cada uno con permisos diferenciados.</w:t>
      </w:r>
    </w:p>
    <w:p w14:paraId="5B2840F8" w14:textId="77777777" w:rsidR="006E64CE" w:rsidRPr="006E64CE" w:rsidRDefault="006E64CE" w:rsidP="006E64CE">
      <w:pPr>
        <w:pStyle w:val="ListParagraph"/>
        <w:numPr>
          <w:ilvl w:val="0"/>
          <w:numId w:val="4"/>
        </w:numPr>
        <w:spacing w:after="100" w:line="276" w:lineRule="auto"/>
        <w:contextualSpacing w:val="0"/>
        <w:jc w:val="both"/>
        <w:rPr>
          <w:color w:val="000000" w:themeColor="text1"/>
          <w:sz w:val="24"/>
          <w:szCs w:val="24"/>
        </w:rPr>
      </w:pPr>
      <w:r w:rsidRPr="006E64CE">
        <w:rPr>
          <w:b/>
          <w:bCs/>
          <w:color w:val="000000" w:themeColor="text1"/>
          <w:sz w:val="24"/>
          <w:szCs w:val="24"/>
        </w:rPr>
        <w:t xml:space="preserve">Vista General (KPIs) — </w:t>
      </w:r>
      <w:r w:rsidRPr="006E64CE">
        <w:rPr>
          <w:color w:val="000000" w:themeColor="text1"/>
          <w:sz w:val="24"/>
          <w:szCs w:val="24"/>
        </w:rPr>
        <w:t>activos totales por tipo, porcentaje operativo, tiempo medio de resolución (MTTR), mapa de calor de incidencias activas y alertas críticas del día.</w:t>
      </w:r>
    </w:p>
    <w:p w14:paraId="3251602F" w14:textId="77777777" w:rsidR="006E64CE" w:rsidRPr="006E64CE" w:rsidRDefault="006E64CE" w:rsidP="006E64CE">
      <w:pPr>
        <w:pStyle w:val="ListParagraph"/>
        <w:numPr>
          <w:ilvl w:val="0"/>
          <w:numId w:val="4"/>
        </w:numPr>
        <w:spacing w:after="100" w:line="276" w:lineRule="auto"/>
        <w:contextualSpacing w:val="0"/>
        <w:jc w:val="both"/>
        <w:rPr>
          <w:color w:val="000000" w:themeColor="text1"/>
          <w:sz w:val="24"/>
          <w:szCs w:val="24"/>
        </w:rPr>
      </w:pPr>
      <w:r w:rsidRPr="006E64CE">
        <w:rPr>
          <w:b/>
          <w:bCs/>
          <w:color w:val="000000" w:themeColor="text1"/>
          <w:sz w:val="24"/>
          <w:szCs w:val="24"/>
        </w:rPr>
        <w:t xml:space="preserve">Gestión de Activos — </w:t>
      </w:r>
      <w:r w:rsidRPr="006E64CE">
        <w:rPr>
          <w:color w:val="000000" w:themeColor="text1"/>
          <w:sz w:val="24"/>
          <w:szCs w:val="24"/>
        </w:rPr>
        <w:t>catálogo georreferenciado, ficha de historial completo por activo, ciclo de vida y costo acumulado de mantenimiento.</w:t>
      </w:r>
    </w:p>
    <w:p w14:paraId="76E3A8BD" w14:textId="77777777" w:rsidR="006E64CE" w:rsidRPr="006E64CE" w:rsidRDefault="006E64CE" w:rsidP="006E64CE">
      <w:pPr>
        <w:pStyle w:val="ListParagraph"/>
        <w:numPr>
          <w:ilvl w:val="0"/>
          <w:numId w:val="4"/>
        </w:numPr>
        <w:spacing w:after="100" w:line="276" w:lineRule="auto"/>
        <w:contextualSpacing w:val="0"/>
        <w:jc w:val="both"/>
        <w:rPr>
          <w:color w:val="000000" w:themeColor="text1"/>
          <w:sz w:val="24"/>
          <w:szCs w:val="24"/>
        </w:rPr>
      </w:pPr>
      <w:r w:rsidRPr="006E64CE">
        <w:rPr>
          <w:b/>
          <w:bCs/>
          <w:color w:val="000000" w:themeColor="text1"/>
          <w:sz w:val="24"/>
          <w:szCs w:val="24"/>
        </w:rPr>
        <w:t xml:space="preserve">Gestión de Cuadrillas y Rutas — </w:t>
      </w:r>
      <w:r w:rsidRPr="006E64CE">
        <w:rPr>
          <w:color w:val="000000" w:themeColor="text1"/>
          <w:sz w:val="24"/>
          <w:szCs w:val="24"/>
        </w:rPr>
        <w:t>asignación de personal, visualización de rutas optimizadas en tiempo real y carga de trabajo por cuadrilla.</w:t>
      </w:r>
    </w:p>
    <w:p w14:paraId="16CD474F" w14:textId="77777777" w:rsidR="006E64CE" w:rsidRPr="006E64CE" w:rsidRDefault="006E64CE" w:rsidP="006E64CE">
      <w:pPr>
        <w:pStyle w:val="ListParagraph"/>
        <w:numPr>
          <w:ilvl w:val="0"/>
          <w:numId w:val="4"/>
        </w:numPr>
        <w:spacing w:after="100" w:line="276" w:lineRule="auto"/>
        <w:contextualSpacing w:val="0"/>
        <w:jc w:val="both"/>
        <w:rPr>
          <w:color w:val="000000" w:themeColor="text1"/>
          <w:sz w:val="24"/>
          <w:szCs w:val="24"/>
        </w:rPr>
      </w:pPr>
      <w:r w:rsidRPr="006E64CE">
        <w:rPr>
          <w:b/>
          <w:bCs/>
          <w:color w:val="000000" w:themeColor="text1"/>
          <w:sz w:val="24"/>
          <w:szCs w:val="24"/>
        </w:rPr>
        <w:t xml:space="preserve">Analítica Predictiva — </w:t>
      </w:r>
      <w:r w:rsidRPr="006E64CE">
        <w:rPr>
          <w:color w:val="000000" w:themeColor="text1"/>
          <w:sz w:val="24"/>
          <w:szCs w:val="24"/>
        </w:rPr>
        <w:t>panel del módulo de baches (1.1.1) con mapa de riesgo y ranking de segmentos priorizados, y panel de salud del alumbrado (1.1.3).</w:t>
      </w:r>
    </w:p>
    <w:p w14:paraId="5C3563B6" w14:textId="77777777" w:rsidR="006E64CE" w:rsidRPr="006E64CE" w:rsidRDefault="006E64CE" w:rsidP="006E64CE">
      <w:pPr>
        <w:pStyle w:val="ListParagraph"/>
        <w:numPr>
          <w:ilvl w:val="0"/>
          <w:numId w:val="4"/>
        </w:numPr>
        <w:spacing w:after="100" w:line="276" w:lineRule="auto"/>
        <w:contextualSpacing w:val="0"/>
        <w:jc w:val="both"/>
        <w:rPr>
          <w:color w:val="000000" w:themeColor="text1"/>
          <w:sz w:val="24"/>
          <w:szCs w:val="24"/>
        </w:rPr>
      </w:pPr>
      <w:r w:rsidRPr="006E64CE">
        <w:rPr>
          <w:b/>
          <w:bCs/>
          <w:color w:val="000000" w:themeColor="text1"/>
          <w:sz w:val="24"/>
          <w:szCs w:val="24"/>
        </w:rPr>
        <w:t xml:space="preserve">Moderación de Reportes Ciudadanos — </w:t>
      </w:r>
      <w:r w:rsidRPr="006E64CE">
        <w:rPr>
          <w:color w:val="000000" w:themeColor="text1"/>
          <w:sz w:val="24"/>
          <w:szCs w:val="24"/>
        </w:rPr>
        <w:t>cola de triage, reclasificación manual, escalamiento al 911 y gestión de reportes duplicados o fraudulentos.</w:t>
      </w:r>
    </w:p>
    <w:p w14:paraId="073F17EF" w14:textId="77777777" w:rsidR="006E64CE" w:rsidRPr="006E64CE" w:rsidRDefault="006E64CE" w:rsidP="006E64CE">
      <w:pPr>
        <w:pStyle w:val="ListParagraph"/>
        <w:numPr>
          <w:ilvl w:val="0"/>
          <w:numId w:val="4"/>
        </w:numPr>
        <w:spacing w:after="100" w:line="276" w:lineRule="auto"/>
        <w:contextualSpacing w:val="0"/>
        <w:jc w:val="both"/>
        <w:rPr>
          <w:color w:val="000000" w:themeColor="text1"/>
          <w:sz w:val="24"/>
          <w:szCs w:val="24"/>
        </w:rPr>
      </w:pPr>
      <w:r w:rsidRPr="006E64CE">
        <w:rPr>
          <w:b/>
          <w:bCs/>
          <w:color w:val="000000" w:themeColor="text1"/>
          <w:sz w:val="24"/>
          <w:szCs w:val="24"/>
        </w:rPr>
        <w:t xml:space="preserve">Módulo Climático / Emergencias — </w:t>
      </w:r>
      <w:r w:rsidRPr="006E64CE">
        <w:rPr>
          <w:color w:val="000000" w:themeColor="text1"/>
          <w:sz w:val="24"/>
          <w:szCs w:val="24"/>
        </w:rPr>
        <w:t>panel de alertas COE/INDOMET vigentes, mapa de imbornales y cañadas críticas, y activación del Modo Temporada Ciclónica.</w:t>
      </w:r>
    </w:p>
    <w:p w14:paraId="1A85E4FF" w14:textId="77777777" w:rsidR="006E64CE" w:rsidRPr="006E64CE" w:rsidRDefault="006E64CE" w:rsidP="006E64CE">
      <w:pPr>
        <w:pStyle w:val="ListParagraph"/>
        <w:numPr>
          <w:ilvl w:val="0"/>
          <w:numId w:val="4"/>
        </w:numPr>
        <w:spacing w:after="100" w:line="276" w:lineRule="auto"/>
        <w:contextualSpacing w:val="0"/>
        <w:jc w:val="both"/>
        <w:rPr>
          <w:color w:val="000000" w:themeColor="text1"/>
          <w:sz w:val="24"/>
          <w:szCs w:val="24"/>
        </w:rPr>
      </w:pPr>
      <w:r w:rsidRPr="006E64CE">
        <w:rPr>
          <w:b/>
          <w:bCs/>
          <w:color w:val="000000" w:themeColor="text1"/>
          <w:sz w:val="24"/>
          <w:szCs w:val="24"/>
        </w:rPr>
        <w:t xml:space="preserve">Reportes Ejecutivos — </w:t>
      </w:r>
      <w:r w:rsidRPr="006E64CE">
        <w:rPr>
          <w:color w:val="000000" w:themeColor="text1"/>
          <w:sz w:val="24"/>
          <w:szCs w:val="24"/>
        </w:rPr>
        <w:t>exportación en PDF/Excel de indicadores por periodo, circunscripción o tipo de activo, para rendición de cuentas pública.</w:t>
      </w:r>
    </w:p>
    <w:p w14:paraId="49A3D777" w14:textId="3AD0586E" w:rsidR="006E64CE" w:rsidRPr="006E64CE" w:rsidRDefault="006E64CE" w:rsidP="006E64CE">
      <w:pPr>
        <w:pStyle w:val="ListParagraph"/>
        <w:numPr>
          <w:ilvl w:val="0"/>
          <w:numId w:val="4"/>
        </w:numPr>
        <w:spacing w:after="100" w:line="276" w:lineRule="auto"/>
        <w:contextualSpacing w:val="0"/>
        <w:jc w:val="both"/>
        <w:rPr>
          <w:color w:val="000000" w:themeColor="text1"/>
          <w:sz w:val="24"/>
          <w:szCs w:val="24"/>
        </w:rPr>
      </w:pPr>
      <w:r w:rsidRPr="006E64CE">
        <w:rPr>
          <w:b/>
          <w:bCs/>
          <w:color w:val="000000" w:themeColor="text1"/>
          <w:sz w:val="24"/>
          <w:szCs w:val="24"/>
        </w:rPr>
        <w:t xml:space="preserve">Configuración del Sistema — </w:t>
      </w:r>
      <w:r w:rsidRPr="006E64CE">
        <w:rPr>
          <w:color w:val="000000" w:themeColor="text1"/>
          <w:sz w:val="24"/>
          <w:szCs w:val="24"/>
        </w:rPr>
        <w:t>definición de SLAs por categoría, zonas/circunscripciones, roles y permisos, e integración de APIs externas (911, INDOMET, empresas distribuidoras de electricidad).</w:t>
      </w:r>
    </w:p>
    <w:sectPr w:rsidR="006E64CE" w:rsidRPr="006E64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B01BD"/>
    <w:multiLevelType w:val="hybridMultilevel"/>
    <w:tmpl w:val="AA5033B6"/>
    <w:lvl w:ilvl="0" w:tplc="285CD676">
      <w:start w:val="1"/>
      <w:numFmt w:val="decimal"/>
      <w:lvlText w:val="%1."/>
      <w:lvlJc w:val="left"/>
      <w:pPr>
        <w:ind w:left="300" w:hanging="300"/>
      </w:pPr>
    </w:lvl>
    <w:lvl w:ilvl="1" w:tplc="1C346112">
      <w:numFmt w:val="decimal"/>
      <w:lvlText w:val=""/>
      <w:lvlJc w:val="left"/>
    </w:lvl>
    <w:lvl w:ilvl="2" w:tplc="8AFA1002">
      <w:numFmt w:val="decimal"/>
      <w:lvlText w:val=""/>
      <w:lvlJc w:val="left"/>
    </w:lvl>
    <w:lvl w:ilvl="3" w:tplc="96FAA2CE">
      <w:numFmt w:val="decimal"/>
      <w:lvlText w:val=""/>
      <w:lvlJc w:val="left"/>
    </w:lvl>
    <w:lvl w:ilvl="4" w:tplc="5CEEABB6">
      <w:numFmt w:val="decimal"/>
      <w:lvlText w:val=""/>
      <w:lvlJc w:val="left"/>
    </w:lvl>
    <w:lvl w:ilvl="5" w:tplc="FFA8890A">
      <w:numFmt w:val="decimal"/>
      <w:lvlText w:val=""/>
      <w:lvlJc w:val="left"/>
    </w:lvl>
    <w:lvl w:ilvl="6" w:tplc="D2BE3AC8">
      <w:numFmt w:val="decimal"/>
      <w:lvlText w:val=""/>
      <w:lvlJc w:val="left"/>
    </w:lvl>
    <w:lvl w:ilvl="7" w:tplc="57AA9458">
      <w:numFmt w:val="decimal"/>
      <w:lvlText w:val=""/>
      <w:lvlJc w:val="left"/>
    </w:lvl>
    <w:lvl w:ilvl="8" w:tplc="57722072">
      <w:numFmt w:val="decimal"/>
      <w:lvlText w:val=""/>
      <w:lvlJc w:val="left"/>
    </w:lvl>
  </w:abstractNum>
  <w:abstractNum w:abstractNumId="1" w15:restartNumberingAfterBreak="0">
    <w:nsid w:val="0B4328AB"/>
    <w:multiLevelType w:val="hybridMultilevel"/>
    <w:tmpl w:val="A1A6EC4A"/>
    <w:lvl w:ilvl="0" w:tplc="7CCC32DE">
      <w:start w:val="1"/>
      <w:numFmt w:val="decimal"/>
      <w:lvlText w:val="%1."/>
      <w:lvlJc w:val="left"/>
      <w:pPr>
        <w:ind w:left="300" w:hanging="300"/>
      </w:pPr>
    </w:lvl>
    <w:lvl w:ilvl="1" w:tplc="BE00A664">
      <w:numFmt w:val="decimal"/>
      <w:lvlText w:val=""/>
      <w:lvlJc w:val="left"/>
    </w:lvl>
    <w:lvl w:ilvl="2" w:tplc="C7C43410">
      <w:numFmt w:val="decimal"/>
      <w:lvlText w:val=""/>
      <w:lvlJc w:val="left"/>
    </w:lvl>
    <w:lvl w:ilvl="3" w:tplc="A95E13CA">
      <w:numFmt w:val="decimal"/>
      <w:lvlText w:val=""/>
      <w:lvlJc w:val="left"/>
    </w:lvl>
    <w:lvl w:ilvl="4" w:tplc="A6C2D7A2">
      <w:numFmt w:val="decimal"/>
      <w:lvlText w:val=""/>
      <w:lvlJc w:val="left"/>
    </w:lvl>
    <w:lvl w:ilvl="5" w:tplc="E89AD9D0">
      <w:numFmt w:val="decimal"/>
      <w:lvlText w:val=""/>
      <w:lvlJc w:val="left"/>
    </w:lvl>
    <w:lvl w:ilvl="6" w:tplc="B710623A">
      <w:numFmt w:val="decimal"/>
      <w:lvlText w:val=""/>
      <w:lvlJc w:val="left"/>
    </w:lvl>
    <w:lvl w:ilvl="7" w:tplc="C8F63A48">
      <w:numFmt w:val="decimal"/>
      <w:lvlText w:val=""/>
      <w:lvlJc w:val="left"/>
    </w:lvl>
    <w:lvl w:ilvl="8" w:tplc="35DEDEB6">
      <w:numFmt w:val="decimal"/>
      <w:lvlText w:val=""/>
      <w:lvlJc w:val="left"/>
    </w:lvl>
  </w:abstractNum>
  <w:abstractNum w:abstractNumId="2" w15:restartNumberingAfterBreak="0">
    <w:nsid w:val="37795112"/>
    <w:multiLevelType w:val="hybridMultilevel"/>
    <w:tmpl w:val="B93003E0"/>
    <w:lvl w:ilvl="0" w:tplc="FB2A0E86">
      <w:start w:val="1"/>
      <w:numFmt w:val="decimal"/>
      <w:lvlText w:val="%1."/>
      <w:lvlJc w:val="left"/>
      <w:pPr>
        <w:ind w:left="300" w:hanging="300"/>
      </w:pPr>
    </w:lvl>
    <w:lvl w:ilvl="1" w:tplc="75187BDE">
      <w:numFmt w:val="decimal"/>
      <w:lvlText w:val=""/>
      <w:lvlJc w:val="left"/>
    </w:lvl>
    <w:lvl w:ilvl="2" w:tplc="79148D74">
      <w:numFmt w:val="decimal"/>
      <w:lvlText w:val=""/>
      <w:lvlJc w:val="left"/>
    </w:lvl>
    <w:lvl w:ilvl="3" w:tplc="3AE84AB2">
      <w:numFmt w:val="decimal"/>
      <w:lvlText w:val=""/>
      <w:lvlJc w:val="left"/>
    </w:lvl>
    <w:lvl w:ilvl="4" w:tplc="F4AAA9E8">
      <w:numFmt w:val="decimal"/>
      <w:lvlText w:val=""/>
      <w:lvlJc w:val="left"/>
    </w:lvl>
    <w:lvl w:ilvl="5" w:tplc="A094C994">
      <w:numFmt w:val="decimal"/>
      <w:lvlText w:val=""/>
      <w:lvlJc w:val="left"/>
    </w:lvl>
    <w:lvl w:ilvl="6" w:tplc="E4A8A24A">
      <w:numFmt w:val="decimal"/>
      <w:lvlText w:val=""/>
      <w:lvlJc w:val="left"/>
    </w:lvl>
    <w:lvl w:ilvl="7" w:tplc="9E62C29E">
      <w:numFmt w:val="decimal"/>
      <w:lvlText w:val=""/>
      <w:lvlJc w:val="left"/>
    </w:lvl>
    <w:lvl w:ilvl="8" w:tplc="AE2694BA">
      <w:numFmt w:val="decimal"/>
      <w:lvlText w:val=""/>
      <w:lvlJc w:val="left"/>
    </w:lvl>
  </w:abstractNum>
  <w:abstractNum w:abstractNumId="3" w15:restartNumberingAfterBreak="0">
    <w:nsid w:val="4DE33E99"/>
    <w:multiLevelType w:val="hybridMultilevel"/>
    <w:tmpl w:val="81309BBC"/>
    <w:lvl w:ilvl="0" w:tplc="14D6C89C">
      <w:start w:val="1"/>
      <w:numFmt w:val="bullet"/>
      <w:lvlText w:val="•"/>
      <w:lvlJc w:val="left"/>
      <w:pPr>
        <w:ind w:left="260" w:hanging="260"/>
      </w:pPr>
    </w:lvl>
    <w:lvl w:ilvl="1" w:tplc="BD8AD79C">
      <w:start w:val="1"/>
      <w:numFmt w:val="bullet"/>
      <w:lvlText w:val="◦"/>
      <w:lvlJc w:val="left"/>
      <w:pPr>
        <w:ind w:left="900" w:hanging="260"/>
      </w:pPr>
    </w:lvl>
    <w:lvl w:ilvl="2" w:tplc="29D05504">
      <w:numFmt w:val="decimal"/>
      <w:lvlText w:val=""/>
      <w:lvlJc w:val="left"/>
    </w:lvl>
    <w:lvl w:ilvl="3" w:tplc="E9DAE016">
      <w:numFmt w:val="decimal"/>
      <w:lvlText w:val=""/>
      <w:lvlJc w:val="left"/>
    </w:lvl>
    <w:lvl w:ilvl="4" w:tplc="4364C794">
      <w:numFmt w:val="decimal"/>
      <w:lvlText w:val=""/>
      <w:lvlJc w:val="left"/>
    </w:lvl>
    <w:lvl w:ilvl="5" w:tplc="1BC220D4">
      <w:numFmt w:val="decimal"/>
      <w:lvlText w:val=""/>
      <w:lvlJc w:val="left"/>
    </w:lvl>
    <w:lvl w:ilvl="6" w:tplc="B680EF68">
      <w:numFmt w:val="decimal"/>
      <w:lvlText w:val=""/>
      <w:lvlJc w:val="left"/>
    </w:lvl>
    <w:lvl w:ilvl="7" w:tplc="F9247B3E">
      <w:numFmt w:val="decimal"/>
      <w:lvlText w:val=""/>
      <w:lvlJc w:val="left"/>
    </w:lvl>
    <w:lvl w:ilvl="8" w:tplc="8844219A">
      <w:numFmt w:val="decimal"/>
      <w:lvlText w:val=""/>
      <w:lvlJc w:val="left"/>
    </w:lvl>
  </w:abstractNum>
  <w:num w:numId="1" w16cid:durableId="899706177">
    <w:abstractNumId w:val="3"/>
    <w:lvlOverride w:ilvl="0">
      <w:startOverride w:val="1"/>
    </w:lvlOverride>
  </w:num>
  <w:num w:numId="2" w16cid:durableId="1822312798">
    <w:abstractNumId w:val="1"/>
    <w:lvlOverride w:ilvl="0">
      <w:startOverride w:val="1"/>
    </w:lvlOverride>
  </w:num>
  <w:num w:numId="3" w16cid:durableId="848835394">
    <w:abstractNumId w:val="2"/>
    <w:lvlOverride w:ilvl="0">
      <w:startOverride w:val="1"/>
    </w:lvlOverride>
  </w:num>
  <w:num w:numId="4" w16cid:durableId="3292734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4CE"/>
    <w:rsid w:val="001B02DC"/>
    <w:rsid w:val="004D27A1"/>
    <w:rsid w:val="006E64CE"/>
  </w:rsids>
  <m:mathPr>
    <m:mathFont m:val="Cambria Math"/>
    <m:brkBin m:val="before"/>
    <m:brkBinSub m:val="--"/>
    <m:smallFrac m:val="0"/>
    <m:dispDef/>
    <m:lMargin m:val="0"/>
    <m:rMargin m:val="0"/>
    <m:defJc m:val="centerGroup"/>
    <m:wrapIndent m:val="1440"/>
    <m:intLim m:val="subSup"/>
    <m:naryLim m:val="undOvr"/>
  </m:mathPr>
  <w:themeFontLang w:val="en-DO"/>
  <w:clrSchemeMapping w:bg1="light1" w:t1="dark1" w:bg2="light2" w:t2="dark2" w:accent1="accent1" w:accent2="accent2" w:accent3="accent3" w:accent4="accent4" w:accent5="accent5" w:accent6="accent6" w:hyperlink="hyperlink" w:followedHyperlink="followedHyperlink"/>
  <w:decimalSymbol w:val="."/>
  <w:listSeparator w:val=","/>
  <w14:docId w14:val="456406D0"/>
  <w15:chartTrackingRefBased/>
  <w15:docId w15:val="{42ADB90E-F49F-8040-843E-71B6D110E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4CE"/>
    <w:pPr>
      <w:spacing w:after="0" w:line="240" w:lineRule="auto"/>
    </w:pPr>
    <w:rPr>
      <w:rFonts w:ascii="Arial" w:eastAsia="Arial" w:hAnsi="Arial" w:cs="Arial"/>
      <w:color w:val="222222"/>
      <w:kern w:val="0"/>
      <w:sz w:val="22"/>
      <w:szCs w:val="22"/>
      <w14:ligatures w14:val="none"/>
    </w:rPr>
  </w:style>
  <w:style w:type="paragraph" w:styleId="Heading1">
    <w:name w:val="heading 1"/>
    <w:basedOn w:val="Normal"/>
    <w:next w:val="Normal"/>
    <w:link w:val="Heading1Char"/>
    <w:uiPriority w:val="9"/>
    <w:qFormat/>
    <w:rsid w:val="006E64CE"/>
    <w:pPr>
      <w:jc w:val="both"/>
      <w:outlineLvl w:val="0"/>
    </w:pPr>
    <w:rPr>
      <w:b/>
      <w:bCs/>
      <w:i/>
      <w:iCs/>
      <w:color w:val="000000" w:themeColor="text1"/>
      <w:sz w:val="28"/>
      <w:szCs w:val="28"/>
    </w:rPr>
  </w:style>
  <w:style w:type="paragraph" w:styleId="Heading2">
    <w:name w:val="heading 2"/>
    <w:basedOn w:val="Normal"/>
    <w:next w:val="Normal"/>
    <w:link w:val="Heading2Char"/>
    <w:uiPriority w:val="9"/>
    <w:unhideWhenUsed/>
    <w:qFormat/>
    <w:rsid w:val="006E64CE"/>
    <w:pPr>
      <w:keepNext/>
      <w:keepLines/>
      <w:spacing w:before="160" w:after="80"/>
      <w:jc w:val="both"/>
      <w:outlineLvl w:val="1"/>
    </w:pPr>
    <w:rPr>
      <w:rFonts w:eastAsiaTheme="majorEastAsia"/>
      <w:b/>
      <w:bCs/>
      <w:color w:val="000000" w:themeColor="text1"/>
      <w:sz w:val="24"/>
      <w:szCs w:val="24"/>
    </w:rPr>
  </w:style>
  <w:style w:type="paragraph" w:styleId="Heading3">
    <w:name w:val="heading 3"/>
    <w:basedOn w:val="Normal"/>
    <w:next w:val="Normal"/>
    <w:link w:val="Heading3Char"/>
    <w:uiPriority w:val="9"/>
    <w:unhideWhenUsed/>
    <w:qFormat/>
    <w:rsid w:val="006E64CE"/>
    <w:pPr>
      <w:keepNext/>
      <w:keepLines/>
      <w:spacing w:before="160" w:after="80"/>
      <w:jc w:val="both"/>
      <w:outlineLvl w:val="2"/>
    </w:pPr>
    <w:rPr>
      <w:rFonts w:eastAsiaTheme="majorEastAsia"/>
      <w:b/>
      <w:bCs/>
      <w:color w:val="000000" w:themeColor="text1"/>
      <w:sz w:val="24"/>
      <w:szCs w:val="24"/>
    </w:rPr>
  </w:style>
  <w:style w:type="paragraph" w:styleId="Heading4">
    <w:name w:val="heading 4"/>
    <w:basedOn w:val="Normal"/>
    <w:next w:val="Normal"/>
    <w:link w:val="Heading4Char"/>
    <w:uiPriority w:val="9"/>
    <w:semiHidden/>
    <w:unhideWhenUsed/>
    <w:qFormat/>
    <w:rsid w:val="006E6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4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4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4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4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4CE"/>
    <w:rPr>
      <w:rFonts w:ascii="Arial" w:eastAsia="Arial" w:hAnsi="Arial" w:cs="Arial"/>
      <w:b/>
      <w:bCs/>
      <w:i/>
      <w:iCs/>
      <w:color w:val="000000" w:themeColor="text1"/>
      <w:kern w:val="0"/>
      <w:sz w:val="28"/>
      <w:szCs w:val="28"/>
      <w14:ligatures w14:val="none"/>
    </w:rPr>
  </w:style>
  <w:style w:type="character" w:customStyle="1" w:styleId="Heading2Char">
    <w:name w:val="Heading 2 Char"/>
    <w:basedOn w:val="DefaultParagraphFont"/>
    <w:link w:val="Heading2"/>
    <w:uiPriority w:val="9"/>
    <w:rsid w:val="006E64CE"/>
    <w:rPr>
      <w:rFonts w:ascii="Arial" w:eastAsiaTheme="majorEastAsia" w:hAnsi="Arial" w:cs="Arial"/>
      <w:b/>
      <w:bCs/>
      <w:color w:val="000000" w:themeColor="text1"/>
      <w:kern w:val="0"/>
      <w14:ligatures w14:val="none"/>
    </w:rPr>
  </w:style>
  <w:style w:type="character" w:customStyle="1" w:styleId="Heading3Char">
    <w:name w:val="Heading 3 Char"/>
    <w:basedOn w:val="DefaultParagraphFont"/>
    <w:link w:val="Heading3"/>
    <w:uiPriority w:val="9"/>
    <w:rsid w:val="006E64CE"/>
    <w:rPr>
      <w:rFonts w:ascii="Arial" w:eastAsiaTheme="majorEastAsia" w:hAnsi="Arial" w:cs="Arial"/>
      <w:b/>
      <w:bCs/>
      <w:color w:val="000000" w:themeColor="text1"/>
      <w:kern w:val="0"/>
      <w14:ligatures w14:val="none"/>
    </w:rPr>
  </w:style>
  <w:style w:type="character" w:customStyle="1" w:styleId="Heading4Char">
    <w:name w:val="Heading 4 Char"/>
    <w:basedOn w:val="DefaultParagraphFont"/>
    <w:link w:val="Heading4"/>
    <w:uiPriority w:val="9"/>
    <w:semiHidden/>
    <w:rsid w:val="006E6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4CE"/>
    <w:rPr>
      <w:rFonts w:eastAsiaTheme="majorEastAsia" w:cstheme="majorBidi"/>
      <w:color w:val="272727" w:themeColor="text1" w:themeTint="D8"/>
    </w:rPr>
  </w:style>
  <w:style w:type="paragraph" w:styleId="Title">
    <w:name w:val="Title"/>
    <w:basedOn w:val="Normal"/>
    <w:next w:val="Normal"/>
    <w:link w:val="TitleChar"/>
    <w:uiPriority w:val="10"/>
    <w:qFormat/>
    <w:rsid w:val="006E64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4CE"/>
    <w:pPr>
      <w:spacing w:before="160"/>
      <w:jc w:val="center"/>
    </w:pPr>
    <w:rPr>
      <w:i/>
      <w:iCs/>
      <w:color w:val="404040" w:themeColor="text1" w:themeTint="BF"/>
    </w:rPr>
  </w:style>
  <w:style w:type="character" w:customStyle="1" w:styleId="QuoteChar">
    <w:name w:val="Quote Char"/>
    <w:basedOn w:val="DefaultParagraphFont"/>
    <w:link w:val="Quote"/>
    <w:uiPriority w:val="29"/>
    <w:rsid w:val="006E64CE"/>
    <w:rPr>
      <w:i/>
      <w:iCs/>
      <w:color w:val="404040" w:themeColor="text1" w:themeTint="BF"/>
    </w:rPr>
  </w:style>
  <w:style w:type="paragraph" w:styleId="ListParagraph">
    <w:name w:val="List Paragraph"/>
    <w:basedOn w:val="Normal"/>
    <w:qFormat/>
    <w:rsid w:val="006E64CE"/>
    <w:pPr>
      <w:ind w:left="720"/>
      <w:contextualSpacing/>
    </w:pPr>
  </w:style>
  <w:style w:type="character" w:styleId="IntenseEmphasis">
    <w:name w:val="Intense Emphasis"/>
    <w:basedOn w:val="DefaultParagraphFont"/>
    <w:uiPriority w:val="21"/>
    <w:qFormat/>
    <w:rsid w:val="006E64CE"/>
    <w:rPr>
      <w:i/>
      <w:iCs/>
      <w:color w:val="0F4761" w:themeColor="accent1" w:themeShade="BF"/>
    </w:rPr>
  </w:style>
  <w:style w:type="paragraph" w:styleId="IntenseQuote">
    <w:name w:val="Intense Quote"/>
    <w:basedOn w:val="Normal"/>
    <w:next w:val="Normal"/>
    <w:link w:val="IntenseQuoteChar"/>
    <w:uiPriority w:val="30"/>
    <w:qFormat/>
    <w:rsid w:val="006E6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4CE"/>
    <w:rPr>
      <w:i/>
      <w:iCs/>
      <w:color w:val="0F4761" w:themeColor="accent1" w:themeShade="BF"/>
    </w:rPr>
  </w:style>
  <w:style w:type="character" w:styleId="IntenseReference">
    <w:name w:val="Intense Reference"/>
    <w:basedOn w:val="DefaultParagraphFont"/>
    <w:uiPriority w:val="32"/>
    <w:qFormat/>
    <w:rsid w:val="006E64CE"/>
    <w:rPr>
      <w:b/>
      <w:bCs/>
      <w:smallCaps/>
      <w:color w:val="0F4761" w:themeColor="accent1" w:themeShade="BF"/>
      <w:spacing w:val="5"/>
    </w:rPr>
  </w:style>
  <w:style w:type="table" w:styleId="GridTable1Light">
    <w:name w:val="Grid Table 1 Light"/>
    <w:basedOn w:val="TableNormal"/>
    <w:uiPriority w:val="46"/>
    <w:rsid w:val="006E64C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3114</Words>
  <Characters>17751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Amparo Garcia, Romer Samil</dc:creator>
  <cp:keywords/>
  <dc:description/>
  <cp:lastModifiedBy>Amparo Garcia, Romer Samil</cp:lastModifiedBy>
  <cp:revision>1</cp:revision>
  <dcterms:created xsi:type="dcterms:W3CDTF">2026-07-09T12:55:00Z</dcterms:created>
  <dcterms:modified xsi:type="dcterms:W3CDTF">2026-07-09T13:06:00Z</dcterms:modified>
</cp:coreProperties>
</file>