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Kaiti SC" w:hAnsi="Kaiti SC" w:eastAsia="Kaiti SC" w:cs="Kaiti SC"/>
          <w:b/>
          <w:sz w:val="36"/>
        </w:rPr>
        <w:t>商业航天新闻日报</w:t>
      </w:r>
    </w:p>
    <w:p>
      <w:pPr>
        <w:spacing w:after="280"/>
        <w:jc w:val="center"/>
      </w:pPr>
      <w:r>
        <w:rPr>
          <w:rFonts w:ascii="Kaiti SC" w:hAnsi="Kaiti SC" w:eastAsia="Kaiti SC" w:cs="Kaiti SC"/>
          <w:sz w:val="21"/>
        </w:rPr>
        <w:t>2026-09-21（上一自然日）</w:t>
      </w:r>
    </w:p>
    <w:tbl>
      <w:tblPr>
        <w:tblStyle w:val="TableGrid"/>
        <w:tblW w:type="auto" w:w="0"/>
        <w:jc w:val="center"/>
        <w:tblLook w:firstColumn="1" w:firstRow="1" w:lastColumn="0" w:lastRow="0" w:noHBand="0" w:noVBand="1" w:val="04A0"/>
      </w:tblPr>
      <w:tblGrid>
        <w:gridCol w:w="4150"/>
        <w:gridCol w:w="4150"/>
      </w:tblGrid>
      <w:tr>
        <w:trPr>
          <w:cantSplit/>
        </w:trPr>
        <w:tc>
          <w:tcPr>
            <w:tcW w:type="dxa" w:w="1814"/>
            <w:vAlign w:val="center"/>
          </w:tcPr>
          <w:p>
            <w:pPr>
              <w:spacing w:after="0" w:line="252" w:lineRule="auto"/>
              <w:jc w:val="center"/>
            </w:pPr>
            <w:r/>
            <w:r>
              <w:rPr>
                <w:rFonts w:ascii="Kaiti SC" w:hAnsi="Kaiti SC" w:eastAsia="Kaiti SC" w:cs="Kaiti SC"/>
                <w:b/>
                <w:sz w:val="19"/>
              </w:rPr>
              <w:t>统计日期</w:t>
            </w:r>
          </w:p>
        </w:tc>
        <w:tc>
          <w:tcPr>
            <w:tcW w:type="dxa" w:w="6463"/>
            <w:vAlign w:val="center"/>
          </w:tcPr>
          <w:p>
            <w:pPr>
              <w:spacing w:after="0" w:line="252" w:lineRule="auto"/>
            </w:pPr>
            <w:r/>
            <w:r>
              <w:rPr>
                <w:rFonts w:ascii="Kaiti SC" w:hAnsi="Kaiti SC" w:eastAsia="Kaiti SC" w:cs="Kaiti SC"/>
                <w:b w:val="0"/>
                <w:sz w:val="19"/>
              </w:rPr>
              <w:t>2026-09-21</w:t>
            </w:r>
          </w:p>
        </w:tc>
      </w:tr>
      <w:tr>
        <w:trPr>
          <w:cantSplit/>
        </w:trPr>
        <w:tc>
          <w:tcPr>
            <w:tcW w:type="dxa" w:w="1814"/>
            <w:vAlign w:val="center"/>
          </w:tcPr>
          <w:p>
            <w:pPr>
              <w:spacing w:after="0" w:line="252" w:lineRule="auto"/>
              <w:jc w:val="center"/>
            </w:pPr>
            <w:r/>
            <w:r>
              <w:rPr>
                <w:rFonts w:ascii="Kaiti SC" w:hAnsi="Kaiti SC" w:eastAsia="Kaiti SC" w:cs="Kaiti SC"/>
                <w:b/>
                <w:sz w:val="19"/>
              </w:rPr>
              <w:t>新闻 / 公司</w:t>
            </w:r>
          </w:p>
        </w:tc>
        <w:tc>
          <w:tcPr>
            <w:tcW w:type="dxa" w:w="6463"/>
            <w:vAlign w:val="center"/>
          </w:tcPr>
          <w:p>
            <w:pPr>
              <w:spacing w:after="0" w:line="252" w:lineRule="auto"/>
            </w:pPr>
            <w:r/>
            <w:r>
              <w:rPr>
                <w:rFonts w:ascii="Kaiti SC" w:hAnsi="Kaiti SC" w:eastAsia="Kaiti SC" w:cs="Kaiti SC"/>
                <w:b w:val="0"/>
                <w:sz w:val="19"/>
              </w:rPr>
              <w:t>13 条 / 4 家</w:t>
            </w:r>
          </w:p>
        </w:tc>
      </w:tr>
      <w:tr>
        <w:trPr>
          <w:cantSplit/>
        </w:trPr>
        <w:tc>
          <w:tcPr>
            <w:tcW w:type="dxa" w:w="1814"/>
            <w:vAlign w:val="center"/>
          </w:tcPr>
          <w:p>
            <w:pPr>
              <w:spacing w:after="0" w:line="252" w:lineRule="auto"/>
              <w:jc w:val="center"/>
            </w:pPr>
            <w:r/>
            <w:r>
              <w:rPr>
                <w:rFonts w:ascii="Kaiti SC" w:hAnsi="Kaiti SC" w:eastAsia="Kaiti SC" w:cs="Kaiti SC"/>
                <w:b/>
                <w:sz w:val="19"/>
              </w:rPr>
              <w:t>信息来源</w:t>
            </w:r>
          </w:p>
        </w:tc>
        <w:tc>
          <w:tcPr>
            <w:tcW w:type="dxa" w:w="6463"/>
            <w:vAlign w:val="center"/>
          </w:tcPr>
          <w:p>
            <w:pPr>
              <w:spacing w:after="0" w:line="252" w:lineRule="auto"/>
            </w:pPr>
            <w:r/>
            <w:r>
              <w:rPr>
                <w:rFonts w:ascii="Kaiti SC" w:hAnsi="Kaiti SC" w:eastAsia="Kaiti SC" w:cs="Kaiti SC"/>
                <w:b w:val="0"/>
                <w:sz w:val="19"/>
              </w:rPr>
              <w:t>10 个</w:t>
            </w:r>
          </w:p>
        </w:tc>
      </w:tr>
      <w:tr>
        <w:trPr>
          <w:cantSplit/>
        </w:trPr>
        <w:tc>
          <w:tcPr>
            <w:tcW w:type="dxa" w:w="1814"/>
            <w:vAlign w:val="center"/>
          </w:tcPr>
          <w:p>
            <w:pPr>
              <w:spacing w:after="0" w:line="252" w:lineRule="auto"/>
              <w:jc w:val="center"/>
            </w:pPr>
            <w:r/>
            <w:r>
              <w:rPr>
                <w:rFonts w:ascii="Kaiti SC" w:hAnsi="Kaiti SC" w:eastAsia="Kaiti SC" w:cs="Kaiti SC"/>
                <w:b/>
                <w:sz w:val="19"/>
              </w:rPr>
              <w:t>生成日期</w:t>
            </w:r>
          </w:p>
        </w:tc>
        <w:tc>
          <w:tcPr>
            <w:tcW w:type="dxa" w:w="6463"/>
            <w:vAlign w:val="center"/>
          </w:tcPr>
          <w:p>
            <w:pPr>
              <w:spacing w:after="0" w:line="252" w:lineRule="auto"/>
            </w:pPr>
            <w:r/>
            <w:r>
              <w:rPr>
                <w:rFonts w:ascii="Kaiti SC" w:hAnsi="Kaiti SC" w:eastAsia="Kaiti SC" w:cs="Kaiti SC"/>
                <w:b w:val="0"/>
                <w:sz w:val="19"/>
              </w:rPr>
              <w:t>2026-09-22</w:t>
            </w:r>
          </w:p>
        </w:tc>
      </w:tr>
    </w:tbl>
    <w:p>
      <w:pPr>
        <w:spacing w:after="0"/>
      </w:pPr>
    </w:p>
    <w:p>
      <w:pPr>
        <w:pStyle w:val="Heading1"/>
      </w:pPr>
      <w:r>
        <w:rPr>
          <w:rFonts w:ascii="Kaiti SC" w:hAnsi="Kaiti SC" w:eastAsia="Kaiti SC" w:cs="Kaiti SC"/>
          <w:b/>
          <w:sz w:val="21"/>
        </w:rPr>
        <w:t>1. 昨日摘要</w:t>
      </w:r>
    </w:p>
    <w:p>
      <w:r>
        <w:t>2026-09-21 共归档 13 条新闻，覆盖 4 家公司、10 个信息来源。 新闻量较多的公司包括 中科宇航、SpaceX、天兵科技、银河航天。</w:t>
      </w:r>
    </w:p>
    <w:p>
      <w:pPr>
        <w:pStyle w:val="Heading1"/>
      </w:pPr>
      <w:r>
        <w:rPr>
          <w:rFonts w:ascii="Kaiti SC" w:hAnsi="Kaiti SC" w:eastAsia="Kaiti SC" w:cs="Kaiti SC"/>
          <w:b/>
          <w:sz w:val="21"/>
        </w:rPr>
        <w:t>2. 重点动态</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【发射与任务】中科宇航：民营火箭迎来密集发射 中科宇航一箭9星推“算力上天” - 证券时报 （证券时报）</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【发射与任务】中科宇航：力箭一号遥十八火箭成功发射9颗卫星，将执行首次海上发射任务_手机新浪网 - 新浪财经 （新浪财经）</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【发射与任务】中科宇航：力箭一号“一箭9星”送算力上天，近期拟实施首次海上发射任务 - 21财经 （21财经）</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【发射与任务】SpaceX：Is SpaceX stock worth buying ahead of its 14th Starship test? （bing.com）</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【发射与任务】中科宇航：广州产投领投企业中科宇航力箭一号遥十八运载火箭“一箭9星”发射圆满成功！ - 广州市国资委 （广州市国资委）</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【发射与任务】中科宇航：力箭一号“一箭9星”发射成功 - 新华网 （新华网）</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【发射与任务】SpaceX：SpaceX shows how 27 Starlink satellites are packed together in orbit （bing.com）</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【发射与任务】银河航天：银河航天成功发射 “通感智算”一体化技术验证卫星 - 上海证券报电子版 （上海证券报电子版）</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【其他动态】SpaceX：SpaceX Seems to Expand 'Free' Starlink Mini Perk to All Residential Plans （bing.com）</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【发射与任务】天兵科技：天兵科技公布天龙三号遥一运载火箭首飞试验任务失利原因并已完成归零 - eastmoney.com （eastmoney.com）</w:t>
      </w:r>
    </w:p>
    <w:p>
      <w:pPr>
        <w:pStyle w:val="Heading1"/>
      </w:pPr>
      <w:r>
        <w:rPr>
          <w:rFonts w:ascii="Kaiti SC" w:hAnsi="Kaiti SC" w:eastAsia="Kaiti SC" w:cs="Kaiti SC"/>
          <w:b/>
          <w:sz w:val="21"/>
        </w:rPr>
        <w:t>3. 公司动态概览</w:t>
      </w:r>
    </w:p>
    <w:tbl>
      <w:tblPr>
        <w:tblStyle w:val="TableGrid"/>
        <w:tblW w:type="auto" w:w="0"/>
        <w:jc w:val="center"/>
        <w:tblLook w:firstColumn="1" w:firstRow="1" w:lastColumn="0" w:lastRow="0" w:noHBand="0" w:noVBand="1" w:val="04A0"/>
      </w:tblPr>
      <w:tblGrid>
        <w:gridCol w:w="2075"/>
        <w:gridCol w:w="2075"/>
        <w:gridCol w:w="2075"/>
        <w:gridCol w:w="2075"/>
      </w:tblGrid>
      <w:tr>
        <w:trPr>
          <w:tblHeader w:val="true"/>
        </w:trPr>
        <w:tc>
          <w:tcPr>
            <w:tcW w:type="dxa" w:w="2075"/>
            <w:vAlign w:val="center"/>
          </w:tcPr>
          <w:p>
            <w:pPr>
              <w:spacing w:after="0" w:line="252" w:lineRule="auto"/>
              <w:jc w:val="center"/>
            </w:pPr>
            <w:r/>
            <w:r>
              <w:rPr>
                <w:rFonts w:ascii="Kaiti SC" w:hAnsi="Kaiti SC" w:eastAsia="Kaiti SC" w:cs="Kaiti SC"/>
                <w:b/>
                <w:sz w:val="19"/>
              </w:rPr>
              <w:t>公司</w:t>
            </w:r>
          </w:p>
        </w:tc>
        <w:tc>
          <w:tcPr>
            <w:tcW w:type="dxa" w:w="2075"/>
            <w:vAlign w:val="center"/>
          </w:tcPr>
          <w:p>
            <w:pPr>
              <w:spacing w:after="0" w:line="252" w:lineRule="auto"/>
              <w:jc w:val="center"/>
            </w:pPr>
            <w:r/>
            <w:r>
              <w:rPr>
                <w:rFonts w:ascii="Kaiti SC" w:hAnsi="Kaiti SC" w:eastAsia="Kaiti SC" w:cs="Kaiti SC"/>
                <w:b/>
                <w:sz w:val="19"/>
              </w:rPr>
              <w:t>新闻数</w:t>
            </w:r>
          </w:p>
        </w:tc>
        <w:tc>
          <w:tcPr>
            <w:tcW w:type="dxa" w:w="2075"/>
            <w:vAlign w:val="center"/>
          </w:tcPr>
          <w:p>
            <w:pPr>
              <w:spacing w:after="0" w:line="252" w:lineRule="auto"/>
              <w:jc w:val="center"/>
            </w:pPr>
            <w:r/>
            <w:r>
              <w:rPr>
                <w:rFonts w:ascii="Kaiti SC" w:hAnsi="Kaiti SC" w:eastAsia="Kaiti SC" w:cs="Kaiti SC"/>
                <w:b/>
                <w:sz w:val="19"/>
              </w:rPr>
              <w:t>事件类别</w:t>
            </w:r>
          </w:p>
        </w:tc>
        <w:tc>
          <w:tcPr>
            <w:tcW w:type="dxa" w:w="2075"/>
            <w:vAlign w:val="center"/>
          </w:tcPr>
          <w:p>
            <w:pPr>
              <w:spacing w:after="0" w:line="252" w:lineRule="auto"/>
              <w:jc w:val="center"/>
            </w:pPr>
            <w:r/>
            <w:r>
              <w:rPr>
                <w:rFonts w:ascii="Kaiti SC" w:hAnsi="Kaiti SC" w:eastAsia="Kaiti SC" w:cs="Kaiti SC"/>
                <w:b/>
                <w:sz w:val="19"/>
              </w:rPr>
              <w:t>最新动态</w:t>
            </w:r>
          </w:p>
        </w:tc>
      </w:tr>
      <w:tr>
        <w:trPr>
          <w:cantSplit/>
        </w:trPr>
        <w:tc>
          <w:tcPr>
            <w:tcW w:type="dxa" w:w="2075"/>
            <w:vAlign w:val="center"/>
          </w:tcPr>
          <w:p>
            <w:pPr>
              <w:spacing w:after="0" w:line="252" w:lineRule="auto"/>
            </w:pPr>
            <w:r/>
            <w:r>
              <w:rPr>
                <w:rFonts w:ascii="Kaiti SC" w:hAnsi="Kaiti SC" w:eastAsia="Kaiti SC" w:cs="Kaiti SC"/>
                <w:b w:val="0"/>
                <w:sz w:val="19"/>
              </w:rPr>
              <w:t>中科宇航</w:t>
            </w:r>
          </w:p>
        </w:tc>
        <w:tc>
          <w:tcPr>
            <w:tcW w:type="dxa" w:w="2075"/>
            <w:vAlign w:val="center"/>
          </w:tcPr>
          <w:p>
            <w:pPr>
              <w:spacing w:after="0" w:line="252" w:lineRule="auto"/>
              <w:jc w:val="center"/>
            </w:pPr>
            <w:r/>
            <w:r>
              <w:rPr>
                <w:rFonts w:ascii="Kaiti SC" w:hAnsi="Kaiti SC" w:eastAsia="Kaiti SC" w:cs="Kaiti SC"/>
                <w:b w:val="0"/>
                <w:sz w:val="19"/>
              </w:rPr>
              <w:t>8</w:t>
            </w:r>
          </w:p>
        </w:tc>
        <w:tc>
          <w:tcPr>
            <w:tcW w:type="dxa" w:w="2075"/>
            <w:vAlign w:val="center"/>
          </w:tcPr>
          <w:p>
            <w:pPr>
              <w:spacing w:after="0" w:line="252" w:lineRule="auto"/>
              <w:jc w:val="center"/>
            </w:pPr>
            <w:r/>
            <w:r>
              <w:rPr>
                <w:rFonts w:ascii="Kaiti SC" w:hAnsi="Kaiti SC" w:eastAsia="Kaiti SC" w:cs="Kaiti SC"/>
                <w:b w:val="0"/>
                <w:sz w:val="19"/>
              </w:rPr>
              <w:t>发射与任务、订单与合作</w:t>
            </w:r>
          </w:p>
        </w:tc>
        <w:tc>
          <w:tcPr>
            <w:tcW w:type="dxa" w:w="2075"/>
            <w:vAlign w:val="center"/>
          </w:tcPr>
          <w:p>
            <w:pPr>
              <w:spacing w:after="0" w:line="252" w:lineRule="auto"/>
            </w:pPr>
            <w:r/>
            <w:r>
              <w:rPr>
                <w:rFonts w:ascii="Kaiti SC" w:hAnsi="Kaiti SC" w:eastAsia="Kaiti SC" w:cs="Kaiti SC"/>
                <w:b w:val="0"/>
                <w:sz w:val="19"/>
              </w:rPr>
              <w:t>民营火箭迎来密集发射 中科宇航一箭9星推“算力上天” - 证券时报</w:t>
            </w:r>
          </w:p>
        </w:tc>
      </w:tr>
      <w:tr>
        <w:trPr>
          <w:cantSplit/>
        </w:trPr>
        <w:tc>
          <w:tcPr>
            <w:tcW w:type="dxa" w:w="2075"/>
            <w:vAlign w:val="center"/>
          </w:tcPr>
          <w:p>
            <w:pPr>
              <w:spacing w:after="0" w:line="252" w:lineRule="auto"/>
            </w:pPr>
            <w:r/>
            <w:r>
              <w:rPr>
                <w:rFonts w:ascii="Kaiti SC" w:hAnsi="Kaiti SC" w:eastAsia="Kaiti SC" w:cs="Kaiti SC"/>
                <w:b w:val="0"/>
                <w:sz w:val="19"/>
              </w:rPr>
              <w:t>SpaceX</w:t>
            </w:r>
          </w:p>
        </w:tc>
        <w:tc>
          <w:tcPr>
            <w:tcW w:type="dxa" w:w="2075"/>
            <w:vAlign w:val="center"/>
          </w:tcPr>
          <w:p>
            <w:pPr>
              <w:spacing w:after="0" w:line="252" w:lineRule="auto"/>
              <w:jc w:val="center"/>
            </w:pPr>
            <w:r/>
            <w:r>
              <w:rPr>
                <w:rFonts w:ascii="Kaiti SC" w:hAnsi="Kaiti SC" w:eastAsia="Kaiti SC" w:cs="Kaiti SC"/>
                <w:b w:val="0"/>
                <w:sz w:val="19"/>
              </w:rPr>
              <w:t>3</w:t>
            </w:r>
          </w:p>
        </w:tc>
        <w:tc>
          <w:tcPr>
            <w:tcW w:type="dxa" w:w="2075"/>
            <w:vAlign w:val="center"/>
          </w:tcPr>
          <w:p>
            <w:pPr>
              <w:spacing w:after="0" w:line="252" w:lineRule="auto"/>
              <w:jc w:val="center"/>
            </w:pPr>
            <w:r/>
            <w:r>
              <w:rPr>
                <w:rFonts w:ascii="Kaiti SC" w:hAnsi="Kaiti SC" w:eastAsia="Kaiti SC" w:cs="Kaiti SC"/>
                <w:b w:val="0"/>
                <w:sz w:val="19"/>
              </w:rPr>
              <w:t>发射与任务、其他动态</w:t>
            </w:r>
          </w:p>
        </w:tc>
        <w:tc>
          <w:tcPr>
            <w:tcW w:type="dxa" w:w="2075"/>
            <w:vAlign w:val="center"/>
          </w:tcPr>
          <w:p>
            <w:pPr>
              <w:spacing w:after="0" w:line="252" w:lineRule="auto"/>
            </w:pPr>
            <w:r/>
            <w:r>
              <w:rPr>
                <w:rFonts w:ascii="Kaiti SC" w:hAnsi="Kaiti SC" w:eastAsia="Kaiti SC" w:cs="Kaiti SC"/>
                <w:b w:val="0"/>
                <w:sz w:val="19"/>
              </w:rPr>
              <w:t>Is SpaceX stock worth buying ahead of its 14th Starship test?</w:t>
            </w:r>
          </w:p>
        </w:tc>
      </w:tr>
      <w:tr>
        <w:trPr>
          <w:cantSplit/>
        </w:trPr>
        <w:tc>
          <w:tcPr>
            <w:tcW w:type="dxa" w:w="2075"/>
            <w:vAlign w:val="center"/>
          </w:tcPr>
          <w:p>
            <w:pPr>
              <w:spacing w:after="0" w:line="252" w:lineRule="auto"/>
            </w:pPr>
            <w:r/>
            <w:r>
              <w:rPr>
                <w:rFonts w:ascii="Kaiti SC" w:hAnsi="Kaiti SC" w:eastAsia="Kaiti SC" w:cs="Kaiti SC"/>
                <w:b w:val="0"/>
                <w:sz w:val="19"/>
              </w:rPr>
              <w:t>天兵科技</w:t>
            </w:r>
          </w:p>
        </w:tc>
        <w:tc>
          <w:tcPr>
            <w:tcW w:type="dxa" w:w="2075"/>
            <w:vAlign w:val="center"/>
          </w:tcPr>
          <w:p>
            <w:pPr>
              <w:spacing w:after="0" w:line="252" w:lineRule="auto"/>
              <w:jc w:val="center"/>
            </w:pPr>
            <w:r/>
            <w:r>
              <w:rPr>
                <w:rFonts w:ascii="Kaiti SC" w:hAnsi="Kaiti SC" w:eastAsia="Kaiti SC" w:cs="Kaiti SC"/>
                <w:b w:val="0"/>
                <w:sz w:val="19"/>
              </w:rPr>
              <w:t>1</w:t>
            </w:r>
          </w:p>
        </w:tc>
        <w:tc>
          <w:tcPr>
            <w:tcW w:type="dxa" w:w="2075"/>
            <w:vAlign w:val="center"/>
          </w:tcPr>
          <w:p>
            <w:pPr>
              <w:spacing w:after="0" w:line="252" w:lineRule="auto"/>
              <w:jc w:val="center"/>
            </w:pPr>
            <w:r/>
            <w:r>
              <w:rPr>
                <w:rFonts w:ascii="Kaiti SC" w:hAnsi="Kaiti SC" w:eastAsia="Kaiti SC" w:cs="Kaiti SC"/>
                <w:b w:val="0"/>
                <w:sz w:val="19"/>
              </w:rPr>
              <w:t>发射与任务</w:t>
            </w:r>
          </w:p>
        </w:tc>
        <w:tc>
          <w:tcPr>
            <w:tcW w:type="dxa" w:w="2075"/>
            <w:vAlign w:val="center"/>
          </w:tcPr>
          <w:p>
            <w:pPr>
              <w:spacing w:after="0" w:line="252" w:lineRule="auto"/>
            </w:pPr>
            <w:r/>
            <w:r>
              <w:rPr>
                <w:rFonts w:ascii="Kaiti SC" w:hAnsi="Kaiti SC" w:eastAsia="Kaiti SC" w:cs="Kaiti SC"/>
                <w:b w:val="0"/>
                <w:sz w:val="19"/>
              </w:rPr>
              <w:t>天兵科技公布天龙三号遥一运载火箭首飞试验任务失利原因并已完成归零 - eastmoney.com</w:t>
            </w:r>
          </w:p>
        </w:tc>
      </w:tr>
      <w:tr>
        <w:trPr>
          <w:cantSplit/>
        </w:trPr>
        <w:tc>
          <w:tcPr>
            <w:tcW w:type="dxa" w:w="2075"/>
            <w:vAlign w:val="center"/>
          </w:tcPr>
          <w:p>
            <w:pPr>
              <w:spacing w:after="0" w:line="252" w:lineRule="auto"/>
            </w:pPr>
            <w:r/>
            <w:r>
              <w:rPr>
                <w:rFonts w:ascii="Kaiti SC" w:hAnsi="Kaiti SC" w:eastAsia="Kaiti SC" w:cs="Kaiti SC"/>
                <w:b w:val="0"/>
                <w:sz w:val="19"/>
              </w:rPr>
              <w:t>银河航天</w:t>
            </w:r>
          </w:p>
        </w:tc>
        <w:tc>
          <w:tcPr>
            <w:tcW w:type="dxa" w:w="2075"/>
            <w:vAlign w:val="center"/>
          </w:tcPr>
          <w:p>
            <w:pPr>
              <w:spacing w:after="0" w:line="252" w:lineRule="auto"/>
              <w:jc w:val="center"/>
            </w:pPr>
            <w:r/>
            <w:r>
              <w:rPr>
                <w:rFonts w:ascii="Kaiti SC" w:hAnsi="Kaiti SC" w:eastAsia="Kaiti SC" w:cs="Kaiti SC"/>
                <w:b w:val="0"/>
                <w:sz w:val="19"/>
              </w:rPr>
              <w:t>1</w:t>
            </w:r>
          </w:p>
        </w:tc>
        <w:tc>
          <w:tcPr>
            <w:tcW w:type="dxa" w:w="2075"/>
            <w:vAlign w:val="center"/>
          </w:tcPr>
          <w:p>
            <w:pPr>
              <w:spacing w:after="0" w:line="252" w:lineRule="auto"/>
              <w:jc w:val="center"/>
            </w:pPr>
            <w:r/>
            <w:r>
              <w:rPr>
                <w:rFonts w:ascii="Kaiti SC" w:hAnsi="Kaiti SC" w:eastAsia="Kaiti SC" w:cs="Kaiti SC"/>
                <w:b w:val="0"/>
                <w:sz w:val="19"/>
              </w:rPr>
              <w:t>发射与任务</w:t>
            </w:r>
          </w:p>
        </w:tc>
        <w:tc>
          <w:tcPr>
            <w:tcW w:type="dxa" w:w="2075"/>
            <w:vAlign w:val="center"/>
          </w:tcPr>
          <w:p>
            <w:pPr>
              <w:spacing w:after="0" w:line="252" w:lineRule="auto"/>
            </w:pPr>
            <w:r/>
            <w:r>
              <w:rPr>
                <w:rFonts w:ascii="Kaiti SC" w:hAnsi="Kaiti SC" w:eastAsia="Kaiti SC" w:cs="Kaiti SC"/>
                <w:b w:val="0"/>
                <w:sz w:val="19"/>
              </w:rPr>
              <w:t>银河航天成功发射 “通感智算”一体化技术验证卫星 - 上海证券报电子版</w:t>
            </w:r>
          </w:p>
        </w:tc>
      </w:tr>
    </w:tbl>
    <w:p>
      <w:pPr>
        <w:pStyle w:val="Heading1"/>
      </w:pPr>
      <w:r>
        <w:rPr>
          <w:rFonts w:ascii="Kaiti SC" w:hAnsi="Kaiti SC" w:eastAsia="Kaiti SC" w:cs="Kaiti SC"/>
          <w:b/>
          <w:sz w:val="21"/>
        </w:rPr>
        <w:t>4. 来源附录</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[1] 2026-09-21｜证券时报｜中科宇航：民营火箭迎来密集发射 中科宇航一箭9星推“算力上天” - 证券时报</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[2] 2026-09-21｜新浪财经｜中科宇航：力箭一号遥十八火箭成功发射9颗卫星，将执行首次海上发射任务_手机新浪网 - 新浪财经</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[3] 2026-09-21｜21财经｜中科宇航：力箭一号“一箭9星”送算力上天，近期拟实施首次海上发射任务 - 21财经</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[4] 2026-09-21｜bing.com｜SpaceX：Is SpaceX stock worth buying ahead of its 14th Starship test?</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[5] 2026-09-21｜广州市国资委｜中科宇航：广州产投领投企业中科宇航力箭一号遥十八运载火箭“一箭9星”发射圆满成功！ - 广州市国资委</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[6] 2026-09-21｜新华网｜中科宇航：力箭一号“一箭9星”发射成功 - 新华网</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[7] 2026-09-21｜bing.com｜SpaceX：SpaceX shows how 27 Starlink satellites are packed together in orbit</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[8] 2026-09-21｜上海证券报电子版｜银河航天：银河航天成功发射 “通感智算”一体化技术验证卫星 - 上海证券报电子版</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[9] 2026-09-21｜bing.com｜SpaceX：SpaceX Seems to Expand 'Free' Starlink Mini Perk to All Residential Plans</w:t>
      </w:r>
    </w:p>
    <w:p>
      <w:pPr>
        <w:keepLines/>
        <w:spacing w:after="60"/>
        <w:ind w:left="369" w:hanging="227"/>
      </w:pPr>
      <w:r>
        <w:rPr>
          <w:rFonts w:ascii="Kaiti SC" w:hAnsi="Kaiti SC" w:eastAsia="Kaiti SC" w:cs="Kaiti SC"/>
          <w:sz w:val="21"/>
        </w:rPr>
        <w:t xml:space="preserve">✓ </w:t>
      </w:r>
      <w:r>
        <w:rPr>
          <w:rFonts w:ascii="Kaiti SC" w:hAnsi="Kaiti SC" w:eastAsia="Kaiti SC" w:cs="Kaiti SC"/>
          <w:sz w:val="21"/>
        </w:rPr>
        <w:t>[10] 2026-09-21｜eastmoney.com｜天兵科技：天兵科技公布天龙三号遥一运载火箭首飞试验任务失利原因并已完成归零 - eastmoney.com</w:t>
      </w:r>
    </w:p>
    <w:sectPr w:rsidR="00FC693F" w:rsidRPr="0006063C" w:rsidSect="00034616">
      <w:footerReference w:type="default" r:id="rId9"/>
      <w:type w:val="continuous"/>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iti SC" w:hAnsi="Kaiti SC" w:eastAsia="Kaiti SC" w:cs="Kaiti SC"/>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Kaiti SC" w:hAnsi="Kaiti SC" w:eastAsia="Kaiti SC" w:cs="Kai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160" w:after="80"/>
      <w:outlineLvl w:val="0"/>
    </w:pPr>
    <w:rPr>
      <w:rFonts w:asciiTheme="majorHAnsi" w:eastAsiaTheme="majorEastAsia" w:hAnsiTheme="majorHAnsi" w:cstheme="majorBidi" w:ascii="Kaiti SC" w:hAnsi="Kaiti SC" w:eastAsia="Kaiti SC" w:cs="Kaiti SC"/>
      <w:b/>
      <w:bCs/>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Kaiti SC" w:hAnsi="Kaiti SC" w:eastAsia="Kaiti SC" w:cs="Kaiti SC"/>
      <w:b/>
      <w:bCs/>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Kaiti SC" w:hAnsi="Kaiti SC" w:eastAsia="Kaiti SC" w:cs="Kaiti SC"/>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