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389" w:rsidRPr="00065E08" w:rsidRDefault="00F64389" w:rsidP="00D4239B">
      <w:pPr>
        <w:jc w:val="center"/>
        <w:rPr>
          <w:b/>
        </w:rPr>
      </w:pPr>
      <w:r w:rsidRPr="00065E08">
        <w:rPr>
          <w:b/>
        </w:rPr>
        <w:t xml:space="preserve">Lab </w:t>
      </w:r>
      <w:r w:rsidR="00874BCB" w:rsidRPr="00065E08">
        <w:rPr>
          <w:b/>
        </w:rPr>
        <w:t>Write-up</w:t>
      </w:r>
      <w:r w:rsidR="00D4239B">
        <w:rPr>
          <w:b/>
        </w:rPr>
        <w:t xml:space="preserve"> Macro</w:t>
      </w:r>
    </w:p>
    <w:p w:rsidR="00F64389" w:rsidRDefault="00F64389" w:rsidP="00F64389">
      <w:pPr>
        <w:rPr>
          <w:b/>
        </w:rPr>
      </w:pPr>
      <w:r w:rsidRPr="00065E08">
        <w:rPr>
          <w:b/>
        </w:rPr>
        <w:t>Eli Sakov</w:t>
      </w:r>
    </w:p>
    <w:p w:rsidR="001E547E" w:rsidRPr="00065E08" w:rsidRDefault="001E547E" w:rsidP="00F64389">
      <w:pPr>
        <w:rPr>
          <w:b/>
        </w:rPr>
      </w:pPr>
      <w:r>
        <w:rPr>
          <w:b/>
        </w:rPr>
        <w:t>Econometr</w:t>
      </w:r>
      <w:r>
        <w:rPr>
          <w:b/>
        </w:rPr>
        <w:t>ics</w:t>
      </w:r>
    </w:p>
    <w:p w:rsidR="00F64389" w:rsidRPr="00065E08" w:rsidRDefault="00F64389" w:rsidP="00F64389">
      <w:pPr>
        <w:rPr>
          <w:b/>
        </w:rPr>
      </w:pPr>
      <w:r w:rsidRPr="00065E08">
        <w:rPr>
          <w:b/>
        </w:rPr>
        <w:t>11.27.2014</w:t>
      </w:r>
    </w:p>
    <w:p w:rsidR="00F64389" w:rsidRDefault="00F64389" w:rsidP="00F64389">
      <w:pPr>
        <w:rPr>
          <w:b/>
        </w:rPr>
      </w:pPr>
      <w:r w:rsidRPr="00065E08">
        <w:rPr>
          <w:b/>
        </w:rPr>
        <w:t>Intro</w:t>
      </w:r>
    </w:p>
    <w:p w:rsidR="00A02888" w:rsidRPr="00A02888" w:rsidRDefault="00A02888" w:rsidP="00F64389">
      <w:r>
        <w:t xml:space="preserve">Is it possible to predict the future state of the US economy based off past </w:t>
      </w:r>
      <w:r w:rsidR="007B0770">
        <w:t xml:space="preserve">states using </w:t>
      </w:r>
      <w:r w:rsidR="003411E6">
        <w:t>auto</w:t>
      </w:r>
      <w:r w:rsidR="008318FA">
        <w:t>regressions</w:t>
      </w:r>
      <w:r w:rsidR="007B0770">
        <w:t xml:space="preserve"> and distributed lag models? This paper attempts to show which model is best for forecasting US </w:t>
      </w:r>
      <w:r w:rsidR="008318FA">
        <w:t>Real GDP growth</w:t>
      </w:r>
      <w:r w:rsidR="00613772">
        <w:t xml:space="preserve"> rate</w:t>
      </w:r>
      <w:r w:rsidR="007B0770">
        <w:t>.</w:t>
      </w:r>
      <w:r w:rsidR="00613772">
        <w:t xml:space="preserve"> </w:t>
      </w:r>
      <w:r w:rsidR="007B0770">
        <w:t xml:space="preserve"> </w:t>
      </w:r>
    </w:p>
    <w:p w:rsidR="00F64389" w:rsidRDefault="00F64389" w:rsidP="00D4239B">
      <w:pPr>
        <w:tabs>
          <w:tab w:val="left" w:pos="7864"/>
        </w:tabs>
        <w:rPr>
          <w:b/>
        </w:rPr>
      </w:pPr>
      <w:r w:rsidRPr="00065E08">
        <w:rPr>
          <w:b/>
        </w:rPr>
        <w:t>Data and Methods</w:t>
      </w:r>
      <w:r w:rsidR="00D4239B">
        <w:rPr>
          <w:b/>
        </w:rPr>
        <w:tab/>
      </w:r>
    </w:p>
    <w:p w:rsidR="00F345FA" w:rsidRDefault="001051DE" w:rsidP="00F64389">
      <w:r>
        <w:t xml:space="preserve">The data used is US </w:t>
      </w:r>
      <w:r w:rsidR="001E547E">
        <w:t>m</w:t>
      </w:r>
      <w:r>
        <w:t>acroecono</w:t>
      </w:r>
      <w:r w:rsidR="00D4239B">
        <w:t xml:space="preserve">mic </w:t>
      </w:r>
      <w:r w:rsidR="001E547E">
        <w:t>d</w:t>
      </w:r>
      <w:r w:rsidR="00D4239B">
        <w:t>ata from 1947 through 2009</w:t>
      </w:r>
      <w:r w:rsidR="008318FA">
        <w:t>,</w:t>
      </w:r>
      <w:r w:rsidR="00D4239B">
        <w:t xml:space="preserve"> obtained from the Federal Reserve Ec</w:t>
      </w:r>
      <w:r w:rsidR="00690539">
        <w:t xml:space="preserve">onomic Database </w:t>
      </w:r>
      <w:r w:rsidR="00D4239B">
        <w:t>(FRED)</w:t>
      </w:r>
      <w:r w:rsidR="001E547E">
        <w:t>,</w:t>
      </w:r>
      <w:r w:rsidR="00D4239B">
        <w:t xml:space="preserve"> </w:t>
      </w:r>
      <w:r w:rsidR="001E547E">
        <w:t xml:space="preserve">provided by </w:t>
      </w:r>
      <w:r w:rsidR="001E547E">
        <w:t xml:space="preserve">the </w:t>
      </w:r>
      <w:r w:rsidR="001E547E">
        <w:t xml:space="preserve">US </w:t>
      </w:r>
      <w:r w:rsidR="00D4239B">
        <w:t>Federal Reserve Bank of St. Louis. Table 1 define</w:t>
      </w:r>
      <w:r w:rsidR="00734AC1">
        <w:t>s the variables used and Table 2</w:t>
      </w:r>
      <w:r w:rsidR="00D4239B">
        <w:t xml:space="preserve"> </w:t>
      </w:r>
      <w:r w:rsidR="001E547E">
        <w:t>contains</w:t>
      </w:r>
      <w:r w:rsidR="00D4239B">
        <w:t xml:space="preserve"> summary statistics</w:t>
      </w:r>
      <w:r w:rsidR="008318FA">
        <w:t>. Each observation is of a quarter</w:t>
      </w:r>
      <w:r w:rsidR="00690539">
        <w:t>,</w:t>
      </w:r>
      <w:r w:rsidR="008318FA">
        <w:t xml:space="preserve"> and the dollar units are chain-adjusted for 2005 dollars.</w:t>
      </w:r>
    </w:p>
    <w:p w:rsidR="001E547E" w:rsidRDefault="001E547E" w:rsidP="001E547E">
      <w:r>
        <w:t xml:space="preserve">The GDP Growth Rate was regressed on the </w:t>
      </w:r>
      <w:r>
        <w:t>independent variables using ordinary least squares regression with</w:t>
      </w:r>
      <w:r>
        <w:t xml:space="preserve"> </w:t>
      </w:r>
      <w:r>
        <w:t>heteroskedastic-consistent standard errors</w:t>
      </w:r>
      <w:r>
        <w:t>.</w:t>
      </w:r>
    </w:p>
    <w:p w:rsidR="001E547E" w:rsidRPr="00D4239B" w:rsidRDefault="001E547E" w:rsidP="00F64389">
      <w:pPr>
        <w:rPr>
          <w:sz w:val="16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98"/>
        <w:gridCol w:w="6501"/>
      </w:tblGrid>
      <w:tr w:rsidR="003A3240" w:rsidRPr="00065E08" w:rsidTr="002D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9" w:type="dxa"/>
            <w:gridSpan w:val="2"/>
          </w:tcPr>
          <w:p w:rsidR="003A3240" w:rsidRPr="00065E08" w:rsidRDefault="003A3240" w:rsidP="00F64389">
            <w:r w:rsidRPr="00065E08">
              <w:t>Table 1. Variables Used</w:t>
            </w:r>
          </w:p>
        </w:tc>
      </w:tr>
      <w:tr w:rsidR="003A3240" w:rsidRPr="00065E08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3A3240" w:rsidRPr="00065E08" w:rsidRDefault="003A3240" w:rsidP="00F64389">
            <w:r w:rsidRPr="00065E08">
              <w:t>Variable</w:t>
            </w:r>
          </w:p>
        </w:tc>
        <w:tc>
          <w:tcPr>
            <w:tcW w:w="6501" w:type="dxa"/>
          </w:tcPr>
          <w:p w:rsidR="003A3240" w:rsidRPr="00065E08" w:rsidRDefault="003A3240" w:rsidP="00F6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5E08">
              <w:rPr>
                <w:b/>
              </w:rPr>
              <w:t>Description</w:t>
            </w:r>
          </w:p>
        </w:tc>
      </w:tr>
      <w:tr w:rsidR="003A3240" w:rsidRPr="00065E08" w:rsidTr="002D0983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3A3240" w:rsidRPr="00065E08" w:rsidRDefault="003A3240" w:rsidP="00065E08">
            <w:pPr>
              <w:rPr>
                <w:b w:val="0"/>
              </w:rPr>
            </w:pPr>
            <w:r w:rsidRPr="00065E08">
              <w:rPr>
                <w:b w:val="0"/>
              </w:rPr>
              <w:t>Real GDP</w:t>
            </w:r>
          </w:p>
        </w:tc>
        <w:tc>
          <w:tcPr>
            <w:tcW w:w="6501" w:type="dxa"/>
          </w:tcPr>
          <w:p w:rsidR="003A3240" w:rsidRPr="00065E08" w:rsidRDefault="003A3240" w:rsidP="0006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08">
              <w:t>Quarterly v</w:t>
            </w:r>
            <w:r w:rsidR="00734AC1">
              <w:t>alues of the US Real GDP  chain-</w:t>
            </w:r>
            <w:r w:rsidRPr="00065E08">
              <w:t xml:space="preserve">adjusted </w:t>
            </w:r>
            <w:r w:rsidR="00734AC1">
              <w:t xml:space="preserve">for inflation </w:t>
            </w:r>
            <w:r w:rsidRPr="00065E08">
              <w:t>in 2005 Dollars</w:t>
            </w:r>
          </w:p>
        </w:tc>
      </w:tr>
      <w:tr w:rsidR="003A3240" w:rsidRPr="00065E08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3A3240" w:rsidRPr="00065E08" w:rsidRDefault="003A3240" w:rsidP="00065E08">
            <w:pPr>
              <w:rPr>
                <w:b w:val="0"/>
              </w:rPr>
            </w:pPr>
            <w:r w:rsidRPr="00065E08">
              <w:rPr>
                <w:b w:val="0"/>
              </w:rPr>
              <w:t>TBillRate</w:t>
            </w:r>
          </w:p>
        </w:tc>
        <w:tc>
          <w:tcPr>
            <w:tcW w:w="6501" w:type="dxa"/>
          </w:tcPr>
          <w:p w:rsidR="003A3240" w:rsidRPr="00065E08" w:rsidRDefault="003A3240" w:rsidP="00734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08">
              <w:t xml:space="preserve">Quarterly average values of the </w:t>
            </w:r>
            <w:r w:rsidR="00734AC1">
              <w:t>rate on 3-month Treasury Bill, i</w:t>
            </w:r>
            <w:r w:rsidRPr="00065E08">
              <w:t>n percentage points at an annual rate</w:t>
            </w:r>
          </w:p>
        </w:tc>
      </w:tr>
      <w:tr w:rsidR="00F345FA" w:rsidRPr="00065E08" w:rsidTr="002D098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F345FA" w:rsidRDefault="00F345FA" w:rsidP="00065E08">
            <w:pPr>
              <w:rPr>
                <w:b w:val="0"/>
              </w:rPr>
            </w:pPr>
            <w:r w:rsidRPr="002D0983">
              <w:rPr>
                <w:b w:val="0"/>
              </w:rPr>
              <w:t>Δ</w:t>
            </w:r>
            <w:r w:rsidRPr="005A0B55">
              <w:rPr>
                <w:rFonts w:eastAsia="Times New Roman" w:cs="Times New Roman"/>
                <w:b w:val="0"/>
              </w:rPr>
              <w:t>R</w:t>
            </w:r>
          </w:p>
        </w:tc>
        <w:tc>
          <w:tcPr>
            <w:tcW w:w="6501" w:type="dxa"/>
          </w:tcPr>
          <w:p w:rsidR="00F345FA" w:rsidRDefault="00F345FA" w:rsidP="0006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Quarterly Difference in TBillRate</w:t>
            </w:r>
          </w:p>
        </w:tc>
      </w:tr>
      <w:tr w:rsidR="007D0BFE" w:rsidRPr="00065E08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7D0BFE" w:rsidRPr="007D0BFE" w:rsidRDefault="007D0BFE" w:rsidP="00065E08">
            <w:pPr>
              <w:rPr>
                <w:b w:val="0"/>
              </w:rPr>
            </w:pPr>
            <w:r>
              <w:rPr>
                <w:b w:val="0"/>
              </w:rPr>
              <w:t>Y</w:t>
            </w:r>
            <w:r>
              <w:rPr>
                <w:b w:val="0"/>
                <w:vertAlign w:val="subscript"/>
              </w:rPr>
              <w:t>t</w:t>
            </w:r>
          </w:p>
        </w:tc>
        <w:tc>
          <w:tcPr>
            <w:tcW w:w="6501" w:type="dxa"/>
          </w:tcPr>
          <w:p w:rsidR="007D0BFE" w:rsidRPr="00065E08" w:rsidRDefault="007D0BFE" w:rsidP="00065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Logarithm of Real</w:t>
            </w:r>
            <w:r w:rsidR="00666CFC">
              <w:t xml:space="preserve"> </w:t>
            </w:r>
            <w:r>
              <w:t>GDP</w:t>
            </w:r>
          </w:p>
        </w:tc>
      </w:tr>
      <w:tr w:rsidR="007D0BFE" w:rsidRPr="00065E08" w:rsidTr="002D098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7D0BFE" w:rsidRPr="007D0BFE" w:rsidRDefault="007D0BFE" w:rsidP="00065E08">
            <w:pPr>
              <w:rPr>
                <w:b w:val="0"/>
              </w:rPr>
            </w:pPr>
            <w:r w:rsidRPr="002D0983">
              <w:rPr>
                <w:b w:val="0"/>
              </w:rPr>
              <w:t>Δ</w:t>
            </w:r>
            <w:r>
              <w:rPr>
                <w:b w:val="0"/>
              </w:rPr>
              <w:t>Y</w:t>
            </w:r>
            <w:r>
              <w:rPr>
                <w:b w:val="0"/>
                <w:vertAlign w:val="subscript"/>
              </w:rPr>
              <w:t>t</w:t>
            </w:r>
          </w:p>
        </w:tc>
        <w:tc>
          <w:tcPr>
            <w:tcW w:w="6501" w:type="dxa"/>
          </w:tcPr>
          <w:p w:rsidR="007D0BFE" w:rsidRPr="007D0BFE" w:rsidRDefault="001E547E" w:rsidP="00065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Quarterly Change </w:t>
            </w:r>
            <w:r w:rsidR="007D0BFE">
              <w:t>in Real GDP</w:t>
            </w:r>
          </w:p>
        </w:tc>
      </w:tr>
      <w:tr w:rsidR="003A3240" w:rsidRPr="00065E08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3A3240" w:rsidRPr="00065E08" w:rsidRDefault="003A3240" w:rsidP="00065E08">
            <w:pPr>
              <w:rPr>
                <w:b w:val="0"/>
              </w:rPr>
            </w:pPr>
            <w:r w:rsidRPr="00065E08">
              <w:rPr>
                <w:b w:val="0"/>
              </w:rPr>
              <w:t>Growth Rate</w:t>
            </w:r>
          </w:p>
        </w:tc>
        <w:tc>
          <w:tcPr>
            <w:tcW w:w="6501" w:type="dxa"/>
          </w:tcPr>
          <w:p w:rsidR="003A3240" w:rsidRPr="00065E08" w:rsidRDefault="001E547E" w:rsidP="00065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3A3240" w:rsidRPr="00065E08">
              <w:t xml:space="preserve">Quarterly </w:t>
            </w:r>
            <w:r>
              <w:t xml:space="preserve">GDP </w:t>
            </w:r>
            <w:r w:rsidR="007D0BFE" w:rsidRPr="00065E08">
              <w:t>Growth Rate</w:t>
            </w:r>
          </w:p>
        </w:tc>
      </w:tr>
      <w:tr w:rsidR="003A3240" w:rsidRPr="00065E08" w:rsidTr="002D0983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3A3240" w:rsidRPr="00065E08" w:rsidRDefault="003A3240" w:rsidP="00065E08">
            <w:pPr>
              <w:rPr>
                <w:b w:val="0"/>
              </w:rPr>
            </w:pPr>
            <w:r w:rsidRPr="00065E08">
              <w:rPr>
                <w:b w:val="0"/>
              </w:rPr>
              <w:t>An</w:t>
            </w:r>
            <w:r w:rsidR="001E547E">
              <w:rPr>
                <w:b w:val="0"/>
              </w:rPr>
              <w:t xml:space="preserve">nual </w:t>
            </w:r>
            <w:r w:rsidRPr="00065E08">
              <w:rPr>
                <w:b w:val="0"/>
              </w:rPr>
              <w:t>Growth</w:t>
            </w:r>
            <w:r w:rsidR="001E547E">
              <w:rPr>
                <w:b w:val="0"/>
              </w:rPr>
              <w:t xml:space="preserve"> </w:t>
            </w:r>
            <w:r w:rsidRPr="00065E08">
              <w:rPr>
                <w:b w:val="0"/>
              </w:rPr>
              <w:t>Rate</w:t>
            </w:r>
          </w:p>
        </w:tc>
        <w:tc>
          <w:tcPr>
            <w:tcW w:w="6501" w:type="dxa"/>
          </w:tcPr>
          <w:p w:rsidR="003A3240" w:rsidRPr="00065E08" w:rsidRDefault="003A3240" w:rsidP="001E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08">
              <w:t xml:space="preserve">Annual </w:t>
            </w:r>
            <w:r w:rsidR="001E547E">
              <w:t>P</w:t>
            </w:r>
            <w:r w:rsidR="00D4239B">
              <w:t xml:space="preserve">ercent </w:t>
            </w:r>
            <w:r w:rsidRPr="00065E08">
              <w:t>Growth Rate of Real GDP</w:t>
            </w:r>
            <w:r w:rsidR="00D4239B">
              <w:t xml:space="preserve"> </w:t>
            </w:r>
          </w:p>
        </w:tc>
      </w:tr>
      <w:tr w:rsidR="003A3240" w:rsidRPr="00065E08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3A3240" w:rsidRPr="00065E08" w:rsidRDefault="003A3240" w:rsidP="00065E08">
            <w:pPr>
              <w:rPr>
                <w:b w:val="0"/>
              </w:rPr>
            </w:pPr>
            <w:r w:rsidRPr="00065E08">
              <w:rPr>
                <w:b w:val="0"/>
              </w:rPr>
              <w:t>Year</w:t>
            </w:r>
          </w:p>
        </w:tc>
        <w:tc>
          <w:tcPr>
            <w:tcW w:w="6501" w:type="dxa"/>
          </w:tcPr>
          <w:p w:rsidR="003A3240" w:rsidRPr="00065E08" w:rsidRDefault="003A3240" w:rsidP="003A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08">
              <w:t>The Year the of the observation</w:t>
            </w:r>
          </w:p>
        </w:tc>
      </w:tr>
      <w:tr w:rsidR="003A3240" w:rsidRPr="00065E08" w:rsidTr="002D0983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3A3240" w:rsidRPr="00065E08" w:rsidRDefault="003A3240" w:rsidP="00065E08">
            <w:pPr>
              <w:rPr>
                <w:b w:val="0"/>
              </w:rPr>
            </w:pPr>
            <w:r w:rsidRPr="00065E08">
              <w:rPr>
                <w:b w:val="0"/>
              </w:rPr>
              <w:t>Quarter</w:t>
            </w:r>
          </w:p>
        </w:tc>
        <w:tc>
          <w:tcPr>
            <w:tcW w:w="6501" w:type="dxa"/>
          </w:tcPr>
          <w:p w:rsidR="003A3240" w:rsidRPr="00065E08" w:rsidRDefault="003A3240" w:rsidP="003A3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08">
              <w:t>The Quarter of the observation</w:t>
            </w:r>
          </w:p>
        </w:tc>
      </w:tr>
      <w:tr w:rsidR="003A3240" w:rsidRPr="00065E08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:rsidR="003A3240" w:rsidRPr="00065E08" w:rsidRDefault="00F345FA" w:rsidP="00065E08">
            <w:pPr>
              <w:rPr>
                <w:b w:val="0"/>
              </w:rPr>
            </w:pPr>
            <w:r>
              <w:rPr>
                <w:b w:val="0"/>
              </w:rPr>
              <w:t>Period</w:t>
            </w:r>
          </w:p>
        </w:tc>
        <w:tc>
          <w:tcPr>
            <w:tcW w:w="6501" w:type="dxa"/>
          </w:tcPr>
          <w:p w:rsidR="003A3240" w:rsidRPr="00065E08" w:rsidRDefault="003A3240" w:rsidP="003A3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08">
              <w:t>The period of the observation since the beginning of the data set</w:t>
            </w:r>
          </w:p>
        </w:tc>
      </w:tr>
    </w:tbl>
    <w:p w:rsidR="00437100" w:rsidRDefault="00437100" w:rsidP="00F64389">
      <w:pPr>
        <w:rPr>
          <w:b/>
        </w:rPr>
      </w:pPr>
    </w:p>
    <w:p w:rsidR="00F345FA" w:rsidRDefault="00F345FA" w:rsidP="00F64389">
      <w:pPr>
        <w:rPr>
          <w:b/>
        </w:rPr>
      </w:pPr>
    </w:p>
    <w:p w:rsidR="00F345FA" w:rsidRDefault="00F345FA" w:rsidP="00F64389">
      <w:pPr>
        <w:rPr>
          <w:b/>
        </w:rPr>
      </w:pPr>
    </w:p>
    <w:tbl>
      <w:tblPr>
        <w:tblStyle w:val="LightList-Accent1"/>
        <w:tblW w:w="8559" w:type="dxa"/>
        <w:tblLook w:val="04A0" w:firstRow="1" w:lastRow="0" w:firstColumn="1" w:lastColumn="0" w:noHBand="0" w:noVBand="1"/>
      </w:tblPr>
      <w:tblGrid>
        <w:gridCol w:w="2619"/>
        <w:gridCol w:w="736"/>
        <w:gridCol w:w="1299"/>
        <w:gridCol w:w="1335"/>
        <w:gridCol w:w="1357"/>
        <w:gridCol w:w="1213"/>
      </w:tblGrid>
      <w:tr w:rsidR="005A0B55" w:rsidRPr="00065E08" w:rsidTr="002D0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:rsidR="005A0B55" w:rsidRPr="00065E08" w:rsidRDefault="00065E08" w:rsidP="005A0B55">
            <w:pPr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lastRenderedPageBreak/>
              <w:t xml:space="preserve">Table 2. </w:t>
            </w:r>
            <w:r w:rsidR="00D4239B">
              <w:rPr>
                <w:rFonts w:eastAsia="Times New Roman" w:cs="Times New Roman"/>
              </w:rPr>
              <w:t xml:space="preserve"> Summary Statistics</w:t>
            </w:r>
          </w:p>
        </w:tc>
      </w:tr>
      <w:tr w:rsidR="005A0B55" w:rsidRPr="005A0B55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0B55" w:rsidRPr="005A0B55" w:rsidRDefault="005A0B55" w:rsidP="005A0B55">
            <w:pPr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Variable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5A0B55">
              <w:rPr>
                <w:rFonts w:eastAsia="Times New Roman" w:cs="Times New Roman"/>
                <w:b/>
              </w:rPr>
              <w:t>Obs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5A0B55">
              <w:rPr>
                <w:rFonts w:eastAsia="Times New Roman" w:cs="Times New Roman"/>
                <w:b/>
              </w:rPr>
              <w:t>Mean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5A0B55">
              <w:rPr>
                <w:rFonts w:eastAsia="Times New Roman" w:cs="Times New Roman"/>
                <w:b/>
              </w:rPr>
              <w:t>Std. Dev.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5A0B55">
              <w:rPr>
                <w:rFonts w:eastAsia="Times New Roman" w:cs="Times New Roman"/>
                <w:b/>
              </w:rPr>
              <w:t>Min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5A0B55">
              <w:rPr>
                <w:rFonts w:eastAsia="Times New Roman" w:cs="Times New Roman"/>
                <w:b/>
              </w:rPr>
              <w:t>Max</w:t>
            </w:r>
          </w:p>
        </w:tc>
      </w:tr>
      <w:tr w:rsidR="005A0B55" w:rsidRPr="005A0B55" w:rsidTr="002D09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0B55" w:rsidRPr="005A0B55" w:rsidRDefault="005A0B55" w:rsidP="005A0B55">
            <w:pPr>
              <w:rPr>
                <w:rFonts w:eastAsia="Times New Roman" w:cs="Times New Roman"/>
                <w:b w:val="0"/>
              </w:rPr>
            </w:pPr>
            <w:r w:rsidRPr="005A0B55">
              <w:rPr>
                <w:rFonts w:eastAsia="Times New Roman" w:cs="Times New Roman"/>
                <w:b w:val="0"/>
              </w:rPr>
              <w:t>Year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252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1978</w:t>
            </w:r>
          </w:p>
        </w:tc>
        <w:tc>
          <w:tcPr>
            <w:tcW w:w="0" w:type="auto"/>
            <w:hideMark/>
          </w:tcPr>
          <w:p w:rsidR="005A0B55" w:rsidRPr="005A0B55" w:rsidRDefault="001E547E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18.2204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1947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2009</w:t>
            </w:r>
          </w:p>
        </w:tc>
      </w:tr>
      <w:tr w:rsidR="005A0B55" w:rsidRPr="005A0B55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0B55" w:rsidRPr="005A0B55" w:rsidRDefault="005A0B55" w:rsidP="005A0B55">
            <w:pPr>
              <w:rPr>
                <w:rFonts w:eastAsia="Times New Roman" w:cs="Times New Roman"/>
                <w:b w:val="0"/>
              </w:rPr>
            </w:pPr>
            <w:r w:rsidRPr="005A0B55">
              <w:rPr>
                <w:rFonts w:eastAsia="Times New Roman" w:cs="Times New Roman"/>
                <w:b w:val="0"/>
              </w:rPr>
              <w:t>Quarter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252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2.5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1.12025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4</w:t>
            </w:r>
          </w:p>
        </w:tc>
      </w:tr>
      <w:tr w:rsidR="005A0B55" w:rsidRPr="005A0B55" w:rsidTr="002D09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0B55" w:rsidRPr="005A0B55" w:rsidRDefault="005A0B55" w:rsidP="005A0B55">
            <w:pPr>
              <w:rPr>
                <w:rFonts w:eastAsia="Times New Roman" w:cs="Times New Roman"/>
                <w:b w:val="0"/>
              </w:rPr>
            </w:pPr>
            <w:r w:rsidRPr="005A0B55">
              <w:rPr>
                <w:rFonts w:eastAsia="Times New Roman" w:cs="Times New Roman"/>
                <w:b w:val="0"/>
              </w:rPr>
              <w:t>RealGDP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252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6291.05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3510.47</w:t>
            </w:r>
          </w:p>
        </w:tc>
        <w:tc>
          <w:tcPr>
            <w:tcW w:w="0" w:type="auto"/>
            <w:hideMark/>
          </w:tcPr>
          <w:p w:rsidR="005A0B55" w:rsidRPr="005A0B55" w:rsidRDefault="005A0B55" w:rsidP="00F2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1768.03</w:t>
            </w:r>
          </w:p>
        </w:tc>
        <w:tc>
          <w:tcPr>
            <w:tcW w:w="0" w:type="auto"/>
            <w:hideMark/>
          </w:tcPr>
          <w:p w:rsidR="005A0B55" w:rsidRPr="005A0B55" w:rsidRDefault="00F27779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13363.4</w:t>
            </w:r>
          </w:p>
        </w:tc>
      </w:tr>
      <w:tr w:rsidR="005A0B55" w:rsidRPr="005A0B55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0B55" w:rsidRPr="005A0B55" w:rsidRDefault="005A0B55" w:rsidP="005A0B55">
            <w:pPr>
              <w:rPr>
                <w:rFonts w:eastAsia="Times New Roman" w:cs="Times New Roman"/>
                <w:b w:val="0"/>
              </w:rPr>
            </w:pPr>
            <w:r w:rsidRPr="005A0B55">
              <w:rPr>
                <w:rFonts w:eastAsia="Times New Roman" w:cs="Times New Roman"/>
                <w:b w:val="0"/>
              </w:rPr>
              <w:t>TBillRate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252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4.59062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2.92586</w:t>
            </w:r>
          </w:p>
        </w:tc>
        <w:tc>
          <w:tcPr>
            <w:tcW w:w="0" w:type="auto"/>
            <w:hideMark/>
          </w:tcPr>
          <w:p w:rsidR="005A0B55" w:rsidRPr="005A0B55" w:rsidRDefault="00F27779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.056666</w:t>
            </w:r>
          </w:p>
        </w:tc>
        <w:tc>
          <w:tcPr>
            <w:tcW w:w="0" w:type="auto"/>
            <w:hideMark/>
          </w:tcPr>
          <w:p w:rsidR="005A0B55" w:rsidRPr="005A0B55" w:rsidRDefault="005A0B55" w:rsidP="00F2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15.0533</w:t>
            </w:r>
          </w:p>
        </w:tc>
      </w:tr>
      <w:tr w:rsidR="005A0B55" w:rsidRPr="005A0B55" w:rsidTr="002D09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0B55" w:rsidRPr="005A0B55" w:rsidRDefault="00F345FA" w:rsidP="005A0B55">
            <w:pPr>
              <w:rPr>
                <w:rFonts w:eastAsia="Times New Roman" w:cs="Times New Roman"/>
                <w:b w:val="0"/>
              </w:rPr>
            </w:pPr>
            <w:r>
              <w:rPr>
                <w:rFonts w:eastAsia="Times New Roman" w:cs="Times New Roman"/>
                <w:b w:val="0"/>
              </w:rPr>
              <w:t>Period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252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73.5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72.8903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-52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199</w:t>
            </w:r>
          </w:p>
        </w:tc>
      </w:tr>
      <w:tr w:rsidR="005A0B55" w:rsidRPr="005A0B55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0B55" w:rsidRPr="005A0B55" w:rsidRDefault="005A0B55" w:rsidP="005A0B55">
            <w:pPr>
              <w:rPr>
                <w:rFonts w:eastAsia="Times New Roman" w:cs="Times New Roman"/>
                <w:b w:val="0"/>
              </w:rPr>
            </w:pPr>
            <w:r w:rsidRPr="005A0B55">
              <w:rPr>
                <w:rFonts w:eastAsia="Times New Roman" w:cs="Times New Roman"/>
                <w:b w:val="0"/>
              </w:rPr>
              <w:t>Y</w:t>
            </w:r>
            <w:r w:rsidR="000471AB">
              <w:rPr>
                <w:b w:val="0"/>
                <w:vertAlign w:val="subscript"/>
              </w:rPr>
              <w:t>t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252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8.57802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.600606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7.477623</w:t>
            </w:r>
          </w:p>
        </w:tc>
        <w:tc>
          <w:tcPr>
            <w:tcW w:w="0" w:type="auto"/>
            <w:hideMark/>
          </w:tcPr>
          <w:p w:rsidR="005A0B55" w:rsidRPr="005A0B55" w:rsidRDefault="005A0B55" w:rsidP="00F2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9.50028</w:t>
            </w:r>
          </w:p>
        </w:tc>
      </w:tr>
      <w:tr w:rsidR="005A0B55" w:rsidRPr="005A0B55" w:rsidTr="002D09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0B55" w:rsidRPr="007D0BFE" w:rsidRDefault="007D0BFE" w:rsidP="005A0B55">
            <w:pPr>
              <w:rPr>
                <w:rFonts w:eastAsia="Times New Roman" w:cs="Times New Roman"/>
                <w:b w:val="0"/>
              </w:rPr>
            </w:pPr>
            <w:r w:rsidRPr="007D0BFE">
              <w:rPr>
                <w:b w:val="0"/>
              </w:rPr>
              <w:t>Δ</w:t>
            </w:r>
            <w:r w:rsidR="005A0B55" w:rsidRPr="007D0BFE">
              <w:rPr>
                <w:rFonts w:eastAsia="Times New Roman" w:cs="Times New Roman"/>
                <w:b w:val="0"/>
              </w:rPr>
              <w:t>Y</w:t>
            </w:r>
            <w:r w:rsidR="000471AB">
              <w:rPr>
                <w:b w:val="0"/>
                <w:vertAlign w:val="subscript"/>
              </w:rPr>
              <w:t>t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210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3.80561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.935290</w:t>
            </w:r>
          </w:p>
        </w:tc>
        <w:tc>
          <w:tcPr>
            <w:tcW w:w="0" w:type="auto"/>
            <w:hideMark/>
          </w:tcPr>
          <w:p w:rsidR="005A0B55" w:rsidRPr="005A0B55" w:rsidRDefault="005A0B55" w:rsidP="00F2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-.203340</w:t>
            </w:r>
          </w:p>
        </w:tc>
        <w:tc>
          <w:tcPr>
            <w:tcW w:w="0" w:type="auto"/>
            <w:hideMark/>
          </w:tcPr>
          <w:p w:rsidR="005A0B55" w:rsidRPr="005A0B55" w:rsidRDefault="005A0B55" w:rsidP="00F2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5.37254</w:t>
            </w:r>
          </w:p>
        </w:tc>
      </w:tr>
      <w:tr w:rsidR="005A0B55" w:rsidRPr="005A0B55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0B55" w:rsidRPr="005A0B55" w:rsidRDefault="001E547E" w:rsidP="005A0B55">
            <w:pPr>
              <w:rPr>
                <w:rFonts w:eastAsia="Times New Roman" w:cs="Times New Roman"/>
                <w:b w:val="0"/>
              </w:rPr>
            </w:pPr>
            <w:r w:rsidRPr="005A0B55">
              <w:rPr>
                <w:rFonts w:eastAsia="Times New Roman" w:cs="Times New Roman"/>
                <w:b w:val="0"/>
              </w:rPr>
              <w:t>G</w:t>
            </w:r>
            <w:r w:rsidR="005A0B55" w:rsidRPr="005A0B55">
              <w:rPr>
                <w:rFonts w:eastAsia="Times New Roman" w:cs="Times New Roman"/>
                <w:b w:val="0"/>
              </w:rPr>
              <w:t>rowth</w:t>
            </w:r>
            <w:r>
              <w:rPr>
                <w:rFonts w:eastAsia="Times New Roman" w:cs="Times New Roman"/>
                <w:b w:val="0"/>
              </w:rPr>
              <w:t xml:space="preserve"> </w:t>
            </w:r>
            <w:r w:rsidR="005A0B55" w:rsidRPr="005A0B55">
              <w:rPr>
                <w:rFonts w:eastAsia="Times New Roman" w:cs="Times New Roman"/>
                <w:b w:val="0"/>
              </w:rPr>
              <w:t>Rate</w:t>
            </w:r>
          </w:p>
        </w:tc>
        <w:tc>
          <w:tcPr>
            <w:tcW w:w="0" w:type="auto"/>
            <w:hideMark/>
          </w:tcPr>
          <w:p w:rsidR="005A0B55" w:rsidRPr="005A0B55" w:rsidRDefault="005A0B55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251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.007864</w:t>
            </w:r>
          </w:p>
        </w:tc>
        <w:tc>
          <w:tcPr>
            <w:tcW w:w="0" w:type="auto"/>
            <w:hideMark/>
          </w:tcPr>
          <w:p w:rsidR="005A0B55" w:rsidRPr="005A0B55" w:rsidRDefault="005A0B55" w:rsidP="001E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.009908</w:t>
            </w:r>
          </w:p>
        </w:tc>
        <w:tc>
          <w:tcPr>
            <w:tcW w:w="0" w:type="auto"/>
            <w:hideMark/>
          </w:tcPr>
          <w:p w:rsidR="005A0B55" w:rsidRPr="005A0B55" w:rsidRDefault="00F27779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-.027824</w:t>
            </w:r>
          </w:p>
        </w:tc>
        <w:tc>
          <w:tcPr>
            <w:tcW w:w="0" w:type="auto"/>
            <w:hideMark/>
          </w:tcPr>
          <w:p w:rsidR="005A0B55" w:rsidRPr="005A0B55" w:rsidRDefault="005A0B55" w:rsidP="00F2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.038849</w:t>
            </w:r>
          </w:p>
        </w:tc>
      </w:tr>
      <w:tr w:rsidR="001E547E" w:rsidRPr="005A0B55" w:rsidTr="00F345FA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547E" w:rsidRPr="00065E08" w:rsidRDefault="001E547E" w:rsidP="00F00C7D">
            <w:pPr>
              <w:rPr>
                <w:b w:val="0"/>
              </w:rPr>
            </w:pPr>
            <w:r w:rsidRPr="00065E08">
              <w:rPr>
                <w:b w:val="0"/>
              </w:rPr>
              <w:t>An</w:t>
            </w:r>
            <w:r>
              <w:rPr>
                <w:b w:val="0"/>
              </w:rPr>
              <w:t xml:space="preserve">nual </w:t>
            </w:r>
            <w:r w:rsidRPr="00065E08">
              <w:rPr>
                <w:b w:val="0"/>
              </w:rPr>
              <w:t>Growth</w:t>
            </w:r>
            <w:r>
              <w:rPr>
                <w:b w:val="0"/>
              </w:rPr>
              <w:t xml:space="preserve"> </w:t>
            </w:r>
            <w:r w:rsidRPr="00065E08">
              <w:rPr>
                <w:b w:val="0"/>
              </w:rPr>
              <w:t>Rate</w:t>
            </w:r>
          </w:p>
        </w:tc>
        <w:tc>
          <w:tcPr>
            <w:tcW w:w="0" w:type="auto"/>
            <w:hideMark/>
          </w:tcPr>
          <w:p w:rsidR="001E547E" w:rsidRPr="005A0B55" w:rsidRDefault="001E547E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251</w:t>
            </w:r>
          </w:p>
        </w:tc>
        <w:tc>
          <w:tcPr>
            <w:tcW w:w="0" w:type="auto"/>
            <w:hideMark/>
          </w:tcPr>
          <w:p w:rsidR="001E547E" w:rsidRPr="005A0B55" w:rsidRDefault="001E547E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3.14569</w:t>
            </w:r>
          </w:p>
        </w:tc>
        <w:tc>
          <w:tcPr>
            <w:tcW w:w="0" w:type="auto"/>
            <w:hideMark/>
          </w:tcPr>
          <w:p w:rsidR="001E547E" w:rsidRPr="005A0B55" w:rsidRDefault="001E547E" w:rsidP="001E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3.96339</w:t>
            </w:r>
          </w:p>
        </w:tc>
        <w:tc>
          <w:tcPr>
            <w:tcW w:w="0" w:type="auto"/>
            <w:hideMark/>
          </w:tcPr>
          <w:p w:rsidR="001E547E" w:rsidRPr="005A0B55" w:rsidRDefault="001E547E" w:rsidP="00F27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-11.1299</w:t>
            </w:r>
          </w:p>
        </w:tc>
        <w:tc>
          <w:tcPr>
            <w:tcW w:w="0" w:type="auto"/>
            <w:hideMark/>
          </w:tcPr>
          <w:p w:rsidR="001E547E" w:rsidRPr="005A0B55" w:rsidRDefault="001E547E" w:rsidP="005A0B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15.5397</w:t>
            </w:r>
          </w:p>
        </w:tc>
      </w:tr>
      <w:tr w:rsidR="001E547E" w:rsidRPr="005A0B55" w:rsidTr="002D0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E547E" w:rsidRPr="005A0B55" w:rsidRDefault="001E547E" w:rsidP="005A0B55">
            <w:pPr>
              <w:rPr>
                <w:rFonts w:eastAsia="Times New Roman" w:cs="Times New Roman"/>
                <w:b w:val="0"/>
              </w:rPr>
            </w:pPr>
            <w:r w:rsidRPr="002D0983">
              <w:rPr>
                <w:b w:val="0"/>
              </w:rPr>
              <w:t>Δ</w:t>
            </w:r>
            <w:r w:rsidRPr="005A0B55">
              <w:rPr>
                <w:rFonts w:eastAsia="Times New Roman" w:cs="Times New Roman"/>
                <w:b w:val="0"/>
              </w:rPr>
              <w:t>R</w:t>
            </w:r>
          </w:p>
        </w:tc>
        <w:tc>
          <w:tcPr>
            <w:tcW w:w="0" w:type="auto"/>
            <w:hideMark/>
          </w:tcPr>
          <w:p w:rsidR="001E547E" w:rsidRPr="005A0B55" w:rsidRDefault="001E547E" w:rsidP="005A0B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251</w:t>
            </w:r>
          </w:p>
        </w:tc>
        <w:tc>
          <w:tcPr>
            <w:tcW w:w="0" w:type="auto"/>
            <w:hideMark/>
          </w:tcPr>
          <w:p w:rsidR="001E547E" w:rsidRPr="005A0B55" w:rsidRDefault="001E547E" w:rsidP="001E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-.001288</w:t>
            </w:r>
          </w:p>
        </w:tc>
        <w:tc>
          <w:tcPr>
            <w:tcW w:w="0" w:type="auto"/>
            <w:hideMark/>
          </w:tcPr>
          <w:p w:rsidR="001E547E" w:rsidRPr="005A0B55" w:rsidRDefault="001E547E" w:rsidP="001E5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.708624</w:t>
            </w:r>
          </w:p>
        </w:tc>
        <w:tc>
          <w:tcPr>
            <w:tcW w:w="0" w:type="auto"/>
            <w:hideMark/>
          </w:tcPr>
          <w:p w:rsidR="001E547E" w:rsidRPr="005A0B55" w:rsidRDefault="001E547E" w:rsidP="00F2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-3.73666</w:t>
            </w:r>
          </w:p>
        </w:tc>
        <w:tc>
          <w:tcPr>
            <w:tcW w:w="0" w:type="auto"/>
            <w:hideMark/>
          </w:tcPr>
          <w:p w:rsidR="001E547E" w:rsidRPr="005A0B55" w:rsidRDefault="001E547E" w:rsidP="00F277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5A0B55">
              <w:rPr>
                <w:rFonts w:eastAsia="Times New Roman" w:cs="Times New Roman"/>
              </w:rPr>
              <w:t>4.45999</w:t>
            </w:r>
          </w:p>
        </w:tc>
      </w:tr>
    </w:tbl>
    <w:p w:rsidR="005A0B55" w:rsidRPr="00065E08" w:rsidRDefault="005A0B55" w:rsidP="00F64389">
      <w:pPr>
        <w:rPr>
          <w:b/>
        </w:rPr>
      </w:pPr>
    </w:p>
    <w:p w:rsidR="00F64389" w:rsidRDefault="00F64389" w:rsidP="00F64389">
      <w:pPr>
        <w:rPr>
          <w:b/>
        </w:rPr>
      </w:pPr>
      <w:r w:rsidRPr="00065E08">
        <w:rPr>
          <w:b/>
        </w:rPr>
        <w:t>Results</w:t>
      </w:r>
    </w:p>
    <w:p w:rsidR="00995DBE" w:rsidRDefault="001E547E" w:rsidP="000471AB">
      <w:pPr>
        <w:rPr>
          <w:rFonts w:eastAsia="Times New Roman" w:cs="Times New Roman"/>
          <w:b/>
          <w:bCs/>
          <w:color w:val="FFFFFF" w:themeColor="background1"/>
        </w:rPr>
      </w:pPr>
      <w:r>
        <w:t xml:space="preserve">The </w:t>
      </w:r>
      <w:r w:rsidR="00D4239B">
        <w:t>m</w:t>
      </w:r>
      <w:r w:rsidR="00F64389" w:rsidRPr="00065E08">
        <w:t xml:space="preserve">ean growth rate </w:t>
      </w:r>
      <w:r w:rsidR="00F27779">
        <w:t xml:space="preserve">was </w:t>
      </w:r>
      <w:r w:rsidR="000471AB">
        <w:t xml:space="preserve">3.145 percent with a standard deviation of </w:t>
      </w:r>
      <w:r w:rsidR="000471AB">
        <w:t>3.963</w:t>
      </w:r>
      <w:r>
        <w:t xml:space="preserve"> over the period studied</w:t>
      </w:r>
      <w:r w:rsidR="000471AB">
        <w:t>.</w:t>
      </w:r>
      <w:r w:rsidR="000471AB" w:rsidRPr="00065E08">
        <w:t xml:space="preserve"> </w:t>
      </w:r>
      <w:r w:rsidR="000471AB">
        <w:t>Table 3 displays the first 4 autocorrelations of the annualized percent growth. They are all significant at more than 99.99% confidence.</w:t>
      </w:r>
      <w:r w:rsidR="00437100">
        <w:t xml:space="preserve"> </w:t>
      </w:r>
      <w:r>
        <w:t xml:space="preserve">The autocorrelations </w:t>
      </w:r>
      <w:r w:rsidR="00F27779">
        <w:t>have no</w:t>
      </w:r>
      <w:r w:rsidR="00437100">
        <w:t xml:space="preserve"> units.</w:t>
      </w:r>
    </w:p>
    <w:tbl>
      <w:tblPr>
        <w:tblStyle w:val="LightList-Accent1"/>
        <w:tblW w:w="9229" w:type="dxa"/>
        <w:tblLook w:val="04A0" w:firstRow="1" w:lastRow="0" w:firstColumn="1" w:lastColumn="0" w:noHBand="0" w:noVBand="1"/>
      </w:tblPr>
      <w:tblGrid>
        <w:gridCol w:w="1306"/>
        <w:gridCol w:w="2011"/>
        <w:gridCol w:w="2012"/>
        <w:gridCol w:w="1861"/>
        <w:gridCol w:w="2039"/>
      </w:tblGrid>
      <w:tr w:rsidR="005A0B55" w:rsidRPr="00065E08" w:rsidTr="00F34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</w:tcPr>
          <w:p w:rsidR="005A0B55" w:rsidRPr="00065E08" w:rsidRDefault="000471AB" w:rsidP="001E547E">
            <w:pPr>
              <w:rPr>
                <w:rFonts w:eastAsia="Times New Roman" w:cs="Times New Roman"/>
              </w:rPr>
            </w:pPr>
            <w:r>
              <w:t xml:space="preserve">Table 3. </w:t>
            </w:r>
            <w:r w:rsidR="005A0B55" w:rsidRPr="00065E08">
              <w:t xml:space="preserve">First 4 Autocorrelations of </w:t>
            </w:r>
            <w:r w:rsidR="001E547E">
              <w:t>Change in GDP</w:t>
            </w:r>
          </w:p>
        </w:tc>
      </w:tr>
      <w:tr w:rsidR="00995DBE" w:rsidRPr="00065E08" w:rsidTr="00F34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5DBE" w:rsidRPr="00065E08" w:rsidRDefault="00995DBE" w:rsidP="00995DBE">
            <w:pPr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LAG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065E08">
              <w:rPr>
                <w:rFonts w:eastAsia="Times New Roman" w:cs="Times New Roman"/>
                <w:b/>
              </w:rPr>
              <w:t>AC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065E08">
              <w:rPr>
                <w:rFonts w:eastAsia="Times New Roman" w:cs="Times New Roman"/>
                <w:b/>
              </w:rPr>
              <w:t>PAC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065E08">
              <w:rPr>
                <w:rFonts w:eastAsia="Times New Roman" w:cs="Times New Roman"/>
                <w:b/>
              </w:rPr>
              <w:t>Q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065E08">
              <w:rPr>
                <w:rFonts w:eastAsia="Times New Roman" w:cs="Times New Roman"/>
                <w:b/>
              </w:rPr>
              <w:t>Prob&gt;Q</w:t>
            </w:r>
          </w:p>
        </w:tc>
      </w:tr>
      <w:tr w:rsidR="00995DBE" w:rsidRPr="00065E08" w:rsidTr="00F345F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5DBE" w:rsidRPr="00065E08" w:rsidRDefault="00995DBE" w:rsidP="00995DBE">
            <w:pPr>
              <w:rPr>
                <w:rFonts w:eastAsia="Times New Roman" w:cs="Times New Roman"/>
                <w:b w:val="0"/>
              </w:rPr>
            </w:pPr>
            <w:r w:rsidRPr="00065E08">
              <w:rPr>
                <w:rFonts w:eastAsia="Times New Roman" w:cs="Times New Roman"/>
                <w:b w:val="0"/>
              </w:rPr>
              <w:t>1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0.3678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0.3681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34.357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0.0000</w:t>
            </w:r>
          </w:p>
        </w:tc>
      </w:tr>
      <w:tr w:rsidR="00995DBE" w:rsidRPr="00065E08" w:rsidTr="00F34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5DBE" w:rsidRPr="00065E08" w:rsidRDefault="00995DBE" w:rsidP="00995DBE">
            <w:pPr>
              <w:rPr>
                <w:rFonts w:eastAsia="Times New Roman" w:cs="Times New Roman"/>
                <w:b w:val="0"/>
              </w:rPr>
            </w:pPr>
            <w:r w:rsidRPr="00065E08">
              <w:rPr>
                <w:rFonts w:eastAsia="Times New Roman" w:cs="Times New Roman"/>
                <w:b w:val="0"/>
              </w:rPr>
              <w:t>2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0.2116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0.0890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45.779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0.0000</w:t>
            </w:r>
          </w:p>
        </w:tc>
      </w:tr>
      <w:tr w:rsidR="00995DBE" w:rsidRPr="00065E08" w:rsidTr="00F345FA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5DBE" w:rsidRPr="00065E08" w:rsidRDefault="00995DBE" w:rsidP="00995DBE">
            <w:pPr>
              <w:rPr>
                <w:rFonts w:eastAsia="Times New Roman" w:cs="Times New Roman"/>
                <w:b w:val="0"/>
              </w:rPr>
            </w:pPr>
            <w:r w:rsidRPr="00065E08">
              <w:rPr>
                <w:rFonts w:eastAsia="Times New Roman" w:cs="Times New Roman"/>
                <w:b w:val="0"/>
              </w:rPr>
              <w:t>3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-0.0000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-0.1238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45.779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0.0000</w:t>
            </w:r>
          </w:p>
        </w:tc>
      </w:tr>
      <w:tr w:rsidR="00995DBE" w:rsidRPr="00065E08" w:rsidTr="00F34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95DBE" w:rsidRPr="00065E08" w:rsidRDefault="00995DBE" w:rsidP="00995DBE">
            <w:pPr>
              <w:rPr>
                <w:rFonts w:eastAsia="Times New Roman" w:cs="Times New Roman"/>
                <w:b w:val="0"/>
              </w:rPr>
            </w:pPr>
            <w:r w:rsidRPr="00065E08">
              <w:rPr>
                <w:rFonts w:eastAsia="Times New Roman" w:cs="Times New Roman"/>
                <w:b w:val="0"/>
              </w:rPr>
              <w:t>4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-0.0883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-0.0897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47.785</w:t>
            </w:r>
          </w:p>
        </w:tc>
        <w:tc>
          <w:tcPr>
            <w:tcW w:w="0" w:type="auto"/>
            <w:hideMark/>
          </w:tcPr>
          <w:p w:rsidR="00995DBE" w:rsidRPr="00065E08" w:rsidRDefault="00995DBE" w:rsidP="00995D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065E08">
              <w:rPr>
                <w:rFonts w:eastAsia="Times New Roman" w:cs="Times New Roman"/>
              </w:rPr>
              <w:t>0.0000</w:t>
            </w:r>
          </w:p>
        </w:tc>
      </w:tr>
    </w:tbl>
    <w:p w:rsidR="00437100" w:rsidRDefault="00437100" w:rsidP="00F64389"/>
    <w:p w:rsidR="00F345FA" w:rsidRDefault="00437100" w:rsidP="00F345FA">
      <w:pPr>
        <w:widowControl w:val="0"/>
        <w:autoSpaceDE w:val="0"/>
        <w:autoSpaceDN w:val="0"/>
        <w:adjustRightInd w:val="0"/>
        <w:cnfStyle w:val="000010000000" w:firstRow="0" w:lastRow="0" w:firstColumn="0" w:lastColumn="0" w:oddVBand="1" w:evenVBand="0" w:oddHBand="0" w:evenHBand="0" w:firstRowFirstColumn="0" w:firstRowLastColumn="0" w:lastRowFirstColumn="0" w:lastRowLastColumn="0"/>
        <w:rPr>
          <w:rFonts w:cs="Times New Roman"/>
          <w:sz w:val="24"/>
          <w:szCs w:val="24"/>
        </w:rPr>
      </w:pPr>
      <w:r>
        <w:t xml:space="preserve">Autoregressions were </w:t>
      </w:r>
      <w:r w:rsidR="001E547E">
        <w:t>computed</w:t>
      </w:r>
      <w:r>
        <w:t xml:space="preserve"> to predict growth rate. Table 4 displays the regression results from AR(1/4) models</w:t>
      </w:r>
      <w:r w:rsidR="00613772">
        <w:t>,</w:t>
      </w:r>
      <w:r>
        <w:t xml:space="preserve"> and an ADL(1/4) model including lags of interest rate changes.</w:t>
      </w:r>
      <w:r w:rsidR="00F345FA">
        <w:t xml:space="preserve"> In the AR models, only the first lag</w:t>
      </w:r>
      <w:r w:rsidR="00393EE1">
        <w:t xml:space="preserve"> of </w:t>
      </w:r>
      <w:r w:rsidR="00F27779">
        <w:t xml:space="preserve">the </w:t>
      </w:r>
      <w:r w:rsidR="00393EE1">
        <w:t xml:space="preserve">growth rate </w:t>
      </w:r>
      <w:r w:rsidR="00F345FA">
        <w:t xml:space="preserve">is statistically significant at 95%, with a 95% confidence interval of </w:t>
      </w:r>
      <w:r w:rsidR="00F345FA">
        <w:rPr>
          <w:rFonts w:cs="Times New Roman"/>
          <w:sz w:val="24"/>
          <w:szCs w:val="24"/>
        </w:rPr>
        <w:t>(0</w:t>
      </w:r>
      <w:r w:rsidR="00F345FA" w:rsidRPr="006B543E">
        <w:rPr>
          <w:rFonts w:cs="Times New Roman"/>
          <w:sz w:val="24"/>
          <w:szCs w:val="24"/>
        </w:rPr>
        <w:t>.162,</w:t>
      </w:r>
      <w:r w:rsidR="00F345FA">
        <w:rPr>
          <w:rFonts w:cs="Times New Roman"/>
          <w:sz w:val="24"/>
          <w:szCs w:val="24"/>
        </w:rPr>
        <w:t xml:space="preserve"> 0</w:t>
      </w:r>
      <w:r w:rsidR="00F345FA" w:rsidRPr="006B543E">
        <w:rPr>
          <w:rFonts w:cs="Times New Roman"/>
          <w:sz w:val="24"/>
          <w:szCs w:val="24"/>
        </w:rPr>
        <w:t>.488</w:t>
      </w:r>
      <w:r w:rsidR="00F345FA">
        <w:rPr>
          <w:rFonts w:cs="Times New Roman"/>
          <w:sz w:val="24"/>
          <w:szCs w:val="24"/>
        </w:rPr>
        <w:t xml:space="preserve">). </w:t>
      </w:r>
      <w:r w:rsidR="00CE08B1">
        <w:rPr>
          <w:rFonts w:cs="Times New Roman"/>
          <w:sz w:val="24"/>
          <w:szCs w:val="24"/>
        </w:rPr>
        <w:t>That is a large confidence interval for the estimate, suggesting a high variation in growth</w:t>
      </w:r>
      <w:r w:rsidR="00613772">
        <w:rPr>
          <w:rFonts w:cs="Times New Roman"/>
          <w:sz w:val="24"/>
          <w:szCs w:val="24"/>
        </w:rPr>
        <w:t xml:space="preserve"> rates</w:t>
      </w:r>
      <w:r w:rsidR="00CE08B1">
        <w:rPr>
          <w:rFonts w:cs="Times New Roman"/>
          <w:sz w:val="24"/>
          <w:szCs w:val="24"/>
        </w:rPr>
        <w:t xml:space="preserve">. </w:t>
      </w:r>
      <w:r w:rsidR="00734AC1">
        <w:rPr>
          <w:rFonts w:cs="Times New Roman"/>
          <w:sz w:val="24"/>
          <w:szCs w:val="24"/>
        </w:rPr>
        <w:t xml:space="preserve">According the AR(1) model, if the lagged growth rate increases by 100%, then the present growth rate </w:t>
      </w:r>
      <w:r w:rsidR="00613772">
        <w:rPr>
          <w:rFonts w:cs="Times New Roman"/>
          <w:sz w:val="24"/>
          <w:szCs w:val="24"/>
        </w:rPr>
        <w:t>would increase</w:t>
      </w:r>
      <w:r w:rsidR="00734AC1">
        <w:rPr>
          <w:rFonts w:cs="Times New Roman"/>
          <w:sz w:val="24"/>
          <w:szCs w:val="24"/>
        </w:rPr>
        <w:t xml:space="preserve"> by 36.8%. </w:t>
      </w:r>
      <w:r w:rsidR="00F345FA">
        <w:rPr>
          <w:rFonts w:cs="Times New Roman"/>
          <w:sz w:val="24"/>
          <w:szCs w:val="24"/>
        </w:rPr>
        <w:t>The AR(1) model explains 13.2 percent of the variance.</w:t>
      </w:r>
    </w:p>
    <w:p w:rsidR="00F27779" w:rsidRDefault="00F345FA" w:rsidP="0098551F">
      <w:pPr>
        <w:rPr>
          <w:rFonts w:cs="Times New Roman"/>
          <w:sz w:val="20"/>
          <w:szCs w:val="24"/>
        </w:rPr>
      </w:pPr>
      <w:r>
        <w:rPr>
          <w:rFonts w:cs="Times New Roman"/>
          <w:sz w:val="24"/>
          <w:szCs w:val="24"/>
        </w:rPr>
        <w:t>In the ADL</w:t>
      </w:r>
      <w:r w:rsidR="00393EE1">
        <w:rPr>
          <w:rFonts w:cs="Times New Roman"/>
          <w:sz w:val="24"/>
          <w:szCs w:val="24"/>
        </w:rPr>
        <w:t>(1/4)</w:t>
      </w:r>
      <w:r>
        <w:rPr>
          <w:rFonts w:cs="Times New Roman"/>
          <w:sz w:val="24"/>
          <w:szCs w:val="24"/>
        </w:rPr>
        <w:t xml:space="preserve"> model</w:t>
      </w:r>
      <w:r w:rsidR="00393EE1">
        <w:rPr>
          <w:rFonts w:cs="Times New Roman"/>
          <w:sz w:val="24"/>
          <w:szCs w:val="24"/>
        </w:rPr>
        <w:t xml:space="preserve"> (5)</w:t>
      </w:r>
      <w:r>
        <w:rPr>
          <w:rFonts w:cs="Times New Roman"/>
          <w:sz w:val="24"/>
          <w:szCs w:val="24"/>
        </w:rPr>
        <w:t>,</w:t>
      </w:r>
      <w:r w:rsidR="00393EE1">
        <w:rPr>
          <w:rFonts w:cs="Times New Roman"/>
          <w:sz w:val="24"/>
          <w:szCs w:val="24"/>
        </w:rPr>
        <w:t xml:space="preserve"> the first lag on growth rate </w:t>
      </w:r>
      <w:r>
        <w:rPr>
          <w:rFonts w:cs="Times New Roman"/>
          <w:sz w:val="24"/>
          <w:szCs w:val="24"/>
        </w:rPr>
        <w:t xml:space="preserve"> </w:t>
      </w:r>
      <w:r w:rsidR="00393EE1">
        <w:rPr>
          <w:rFonts w:cs="Times New Roman"/>
          <w:sz w:val="24"/>
          <w:szCs w:val="24"/>
        </w:rPr>
        <w:t xml:space="preserve">is highly significant and the second lag is significant at 90% confidence. </w:t>
      </w:r>
      <w:r w:rsidR="00CE08B1">
        <w:rPr>
          <w:rFonts w:cs="Times New Roman"/>
          <w:sz w:val="24"/>
          <w:szCs w:val="24"/>
        </w:rPr>
        <w:t xml:space="preserve">They predict that the growth rate of the current period </w:t>
      </w:r>
      <w:r w:rsidR="00613772">
        <w:rPr>
          <w:rFonts w:cs="Times New Roman"/>
          <w:sz w:val="24"/>
          <w:szCs w:val="24"/>
        </w:rPr>
        <w:t xml:space="preserve">would </w:t>
      </w:r>
      <w:r w:rsidR="00CE08B1">
        <w:rPr>
          <w:rFonts w:cs="Times New Roman"/>
          <w:sz w:val="24"/>
          <w:szCs w:val="24"/>
        </w:rPr>
        <w:t xml:space="preserve">be 32.5% plus 16.1% of the growth rates in the last two periods, respectively. </w:t>
      </w:r>
      <w:r w:rsidR="00393EE1">
        <w:rPr>
          <w:rFonts w:cs="Times New Roman"/>
          <w:sz w:val="24"/>
          <w:szCs w:val="24"/>
        </w:rPr>
        <w:t xml:space="preserve">The first lag on the change of interest rate is significant at 90% confidence, the second lag is significant at 99.9% confidence, and the </w:t>
      </w:r>
      <w:r w:rsidR="00CE08B1">
        <w:rPr>
          <w:rFonts w:cs="Times New Roman"/>
          <w:sz w:val="24"/>
          <w:szCs w:val="24"/>
        </w:rPr>
        <w:t xml:space="preserve">fourth </w:t>
      </w:r>
      <w:r w:rsidR="00393EE1">
        <w:rPr>
          <w:rFonts w:cs="Times New Roman"/>
          <w:sz w:val="24"/>
          <w:szCs w:val="24"/>
        </w:rPr>
        <w:t xml:space="preserve">lag is significant at 95% confidence. </w:t>
      </w:r>
      <w:r w:rsidR="00CE08B1">
        <w:rPr>
          <w:rFonts w:cs="Times New Roman"/>
          <w:sz w:val="24"/>
          <w:szCs w:val="24"/>
        </w:rPr>
        <w:t xml:space="preserve">It predicts that current growth </w:t>
      </w:r>
      <w:r w:rsidR="00CE08B1">
        <w:rPr>
          <w:rFonts w:cs="Times New Roman"/>
          <w:sz w:val="24"/>
          <w:szCs w:val="24"/>
        </w:rPr>
        <w:lastRenderedPageBreak/>
        <w:t>rate will be 32.5% of the previous growth rate plus 16.1% of the growth rate two periods ago, minus very small</w:t>
      </w:r>
      <w:r w:rsidR="00613772">
        <w:rPr>
          <w:rFonts w:cs="Times New Roman"/>
          <w:sz w:val="24"/>
          <w:szCs w:val="24"/>
        </w:rPr>
        <w:t>, but significant values dependent on previous interest rates</w:t>
      </w:r>
      <w:r w:rsidR="00CE08B1">
        <w:rPr>
          <w:rFonts w:cs="Times New Roman"/>
          <w:sz w:val="24"/>
          <w:szCs w:val="24"/>
        </w:rPr>
        <w:t xml:space="preserve">. All the constants are highly significant. </w:t>
      </w:r>
      <w:r w:rsidR="00393EE1" w:rsidRPr="00972795">
        <w:t xml:space="preserve">The </w:t>
      </w:r>
      <w:r w:rsidR="00393EE1">
        <w:t>G</w:t>
      </w:r>
      <w:r w:rsidR="00393EE1" w:rsidRPr="00972795">
        <w:t xml:space="preserve">ranger </w:t>
      </w:r>
      <w:r w:rsidR="00393EE1">
        <w:t>c</w:t>
      </w:r>
      <w:r w:rsidR="00393EE1" w:rsidRPr="00972795">
        <w:t>ausality F-statistic for model 5</w:t>
      </w:r>
      <w:r w:rsidR="00393EE1">
        <w:t xml:space="preserve"> is 7.350, suggesting the model is significant.</w:t>
      </w:r>
    </w:p>
    <w:p w:rsidR="00F27779" w:rsidRPr="00F27779" w:rsidRDefault="00767C4B" w:rsidP="00F64389">
      <w:r>
        <w:t xml:space="preserve">It is necessary </w:t>
      </w:r>
      <w:r w:rsidR="007373D2">
        <w:t>to pick how many lags should be present in the model</w:t>
      </w:r>
      <w:r w:rsidR="00CE08B1">
        <w:t>s</w:t>
      </w:r>
      <w:r w:rsidR="00F27779">
        <w:t xml:space="preserve"> with BIC and AIC</w:t>
      </w:r>
      <w:r w:rsidR="007373D2">
        <w:t xml:space="preserve">. </w:t>
      </w:r>
      <w:r w:rsidR="006533F4">
        <w:t>Model 5 has the lowest BIC and model 4 has the lowest AIC.</w:t>
      </w:r>
      <w:r w:rsidR="00F27779">
        <w:rPr>
          <w:rFonts w:cs="Times New Roman"/>
          <w:sz w:val="20"/>
          <w:szCs w:val="24"/>
        </w:rPr>
        <w:t xml:space="preserve">  </w:t>
      </w:r>
      <w:r w:rsidR="0098551F">
        <w:t>For AR(1), a Dickey-Fuller test for a Unit Root was conducted</w:t>
      </w:r>
      <w:r w:rsidR="0098551F">
        <w:t xml:space="preserve"> (table </w:t>
      </w:r>
      <w:r w:rsidR="006533F4">
        <w:t>5</w:t>
      </w:r>
      <w:r w:rsidR="0098551F">
        <w:t>)</w:t>
      </w:r>
      <w:r w:rsidR="00F27779">
        <w:t xml:space="preserve">, resulting in a </w:t>
      </w:r>
      <w:r w:rsidR="0098551F" w:rsidRPr="00065E08">
        <w:t>MacKinnon approximate p-value for Z(t) = 1.0000</w:t>
      </w:r>
      <w:r w:rsidR="0098551F">
        <w:t>, allowing us to reject the unit root hypothesis with high confidence.</w:t>
      </w:r>
      <w:r w:rsidR="002952C4">
        <w:t xml:space="preserve"> It is also necessary to test for structural breakpoints in the models with a </w:t>
      </w:r>
      <w:r w:rsidR="002952C4" w:rsidRPr="002952C4">
        <w:t>Quandt likelihood ratio (QLR) statistic</w:t>
      </w:r>
      <w:r w:rsidR="002952C4">
        <w:t xml:space="preserve"> with 15% trimming. The QLR F-</w:t>
      </w:r>
      <w:r w:rsidR="00CE08B1">
        <w:t>statistic for the AR(</w:t>
      </w:r>
      <w:r w:rsidR="002952C4">
        <w:t>1</w:t>
      </w:r>
      <w:r w:rsidR="00CE08B1">
        <w:t>)</w:t>
      </w:r>
      <w:r w:rsidR="002952C4">
        <w:t xml:space="preserve"> model is insi</w:t>
      </w:r>
      <w:r w:rsidR="00CE08B1">
        <w:t>gnificant at 95% confidence. T</w:t>
      </w:r>
      <w:r w:rsidR="002952C4">
        <w:t>he QLR F-statistic for a break in the ADL(1/4) model with lags on interest rate changes is 6.695, and is significant at 99% confidence.</w:t>
      </w:r>
      <w:r w:rsidR="00CE08B1">
        <w:t xml:space="preserve"> This suggests a breakpoint in 1961 for the ADL(1/4) model.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27"/>
        <w:gridCol w:w="1379"/>
        <w:gridCol w:w="1743"/>
        <w:gridCol w:w="1743"/>
        <w:gridCol w:w="3086"/>
      </w:tblGrid>
      <w:tr w:rsidR="00F34345" w:rsidRPr="00065E08" w:rsidTr="00CE4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8" w:type="dxa"/>
            <w:gridSpan w:val="5"/>
          </w:tcPr>
          <w:p w:rsidR="00F34345" w:rsidRPr="00065E08" w:rsidRDefault="0098551F" w:rsidP="006533F4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Table </w:t>
            </w:r>
            <w:r w:rsidR="006533F4">
              <w:rPr>
                <w:rFonts w:eastAsia="Times New Roman" w:cs="Times New Roman"/>
              </w:rPr>
              <w:t>5</w:t>
            </w:r>
            <w:r>
              <w:rPr>
                <w:rFonts w:eastAsia="Times New Roman" w:cs="Times New Roman"/>
              </w:rPr>
              <w:t xml:space="preserve">. </w:t>
            </w:r>
            <w:r w:rsidR="00F34345" w:rsidRPr="00065E08">
              <w:rPr>
                <w:rFonts w:eastAsia="Times New Roman" w:cs="Times New Roman"/>
              </w:rPr>
              <w:t>Dickey-Fuller Test for Unit Root</w:t>
            </w:r>
          </w:p>
        </w:tc>
      </w:tr>
      <w:tr w:rsidR="001D0256" w:rsidRPr="00065E08" w:rsidTr="00CE4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0256" w:rsidRPr="001D0256" w:rsidRDefault="001D0256" w:rsidP="001D0256">
            <w:pPr>
              <w:rPr>
                <w:rFonts w:eastAsia="Times New Roman" w:cs="Times New Roman"/>
                <w:b w:val="0"/>
              </w:rPr>
            </w:pPr>
          </w:p>
        </w:tc>
        <w:tc>
          <w:tcPr>
            <w:tcW w:w="0" w:type="auto"/>
            <w:hideMark/>
          </w:tcPr>
          <w:p w:rsidR="001D0256" w:rsidRPr="001D0256" w:rsidRDefault="001D0256" w:rsidP="001D0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065E08">
              <w:rPr>
                <w:rFonts w:eastAsia="Times New Roman" w:cs="Times New Roman"/>
                <w:b/>
              </w:rPr>
              <w:t xml:space="preserve">Test </w:t>
            </w:r>
            <w:r w:rsidRPr="001D0256">
              <w:rPr>
                <w:rFonts w:eastAsia="Times New Roman" w:cs="Times New Roman"/>
                <w:b/>
              </w:rPr>
              <w:t>Statistic</w:t>
            </w:r>
          </w:p>
        </w:tc>
        <w:tc>
          <w:tcPr>
            <w:tcW w:w="0" w:type="auto"/>
            <w:hideMark/>
          </w:tcPr>
          <w:p w:rsidR="001D0256" w:rsidRPr="001D0256" w:rsidRDefault="001D0256" w:rsidP="001D0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065E08">
              <w:rPr>
                <w:rFonts w:eastAsia="Times New Roman" w:cs="Times New Roman"/>
                <w:b/>
              </w:rPr>
              <w:t xml:space="preserve">1% Critical </w:t>
            </w:r>
            <w:r w:rsidRPr="001D0256">
              <w:rPr>
                <w:rFonts w:eastAsia="Times New Roman" w:cs="Times New Roman"/>
                <w:b/>
              </w:rPr>
              <w:t>Value</w:t>
            </w:r>
          </w:p>
        </w:tc>
        <w:tc>
          <w:tcPr>
            <w:tcW w:w="0" w:type="auto"/>
            <w:hideMark/>
          </w:tcPr>
          <w:p w:rsidR="001D0256" w:rsidRPr="001D0256" w:rsidRDefault="001D0256" w:rsidP="001D0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065E08">
              <w:rPr>
                <w:rFonts w:eastAsia="Times New Roman" w:cs="Times New Roman"/>
                <w:b/>
              </w:rPr>
              <w:t xml:space="preserve">5% Critical </w:t>
            </w:r>
            <w:r w:rsidRPr="001D0256">
              <w:rPr>
                <w:rFonts w:eastAsia="Times New Roman" w:cs="Times New Roman"/>
                <w:b/>
              </w:rPr>
              <w:t>Value</w:t>
            </w:r>
          </w:p>
        </w:tc>
        <w:tc>
          <w:tcPr>
            <w:tcW w:w="3086" w:type="dxa"/>
            <w:hideMark/>
          </w:tcPr>
          <w:p w:rsidR="001D0256" w:rsidRPr="001D0256" w:rsidRDefault="001D0256" w:rsidP="001D0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</w:rPr>
            </w:pPr>
            <w:r w:rsidRPr="00065E08">
              <w:rPr>
                <w:rFonts w:eastAsia="Times New Roman" w:cs="Times New Roman"/>
                <w:b/>
              </w:rPr>
              <w:t xml:space="preserve">10% Critical </w:t>
            </w:r>
            <w:r w:rsidRPr="001D0256">
              <w:rPr>
                <w:rFonts w:eastAsia="Times New Roman" w:cs="Times New Roman"/>
                <w:b/>
              </w:rPr>
              <w:t>Value</w:t>
            </w:r>
          </w:p>
        </w:tc>
      </w:tr>
      <w:tr w:rsidR="001D0256" w:rsidRPr="00065E08" w:rsidTr="00CE41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D0256" w:rsidRPr="001D0256" w:rsidRDefault="001D0256" w:rsidP="001D0256">
            <w:pPr>
              <w:rPr>
                <w:rFonts w:eastAsia="Times New Roman" w:cs="Times New Roman"/>
                <w:b w:val="0"/>
              </w:rPr>
            </w:pPr>
            <w:r w:rsidRPr="001D0256">
              <w:rPr>
                <w:rFonts w:eastAsia="Times New Roman" w:cs="Times New Roman"/>
                <w:b w:val="0"/>
              </w:rPr>
              <w:t>Z(t)</w:t>
            </w:r>
          </w:p>
        </w:tc>
        <w:tc>
          <w:tcPr>
            <w:tcW w:w="0" w:type="auto"/>
            <w:hideMark/>
          </w:tcPr>
          <w:p w:rsidR="001D0256" w:rsidRPr="001D0256" w:rsidRDefault="001D0256" w:rsidP="001D0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D0256">
              <w:rPr>
                <w:rFonts w:eastAsia="Times New Roman" w:cs="Times New Roman"/>
              </w:rPr>
              <w:t>3.899</w:t>
            </w:r>
          </w:p>
        </w:tc>
        <w:tc>
          <w:tcPr>
            <w:tcW w:w="0" w:type="auto"/>
            <w:hideMark/>
          </w:tcPr>
          <w:p w:rsidR="001D0256" w:rsidRPr="001D0256" w:rsidRDefault="001D0256" w:rsidP="001D0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D0256">
              <w:rPr>
                <w:rFonts w:eastAsia="Times New Roman" w:cs="Times New Roman"/>
              </w:rPr>
              <w:t>-3.460</w:t>
            </w:r>
          </w:p>
        </w:tc>
        <w:tc>
          <w:tcPr>
            <w:tcW w:w="0" w:type="auto"/>
            <w:hideMark/>
          </w:tcPr>
          <w:p w:rsidR="001D0256" w:rsidRPr="001D0256" w:rsidRDefault="001D0256" w:rsidP="001D0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D0256">
              <w:rPr>
                <w:rFonts w:eastAsia="Times New Roman" w:cs="Times New Roman"/>
              </w:rPr>
              <w:t>-2.880</w:t>
            </w:r>
          </w:p>
        </w:tc>
        <w:tc>
          <w:tcPr>
            <w:tcW w:w="3086" w:type="dxa"/>
            <w:hideMark/>
          </w:tcPr>
          <w:p w:rsidR="001D0256" w:rsidRPr="001D0256" w:rsidRDefault="001D0256" w:rsidP="001D0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D0256">
              <w:rPr>
                <w:rFonts w:eastAsia="Times New Roman" w:cs="Times New Roman"/>
              </w:rPr>
              <w:t>-2.570</w:t>
            </w:r>
          </w:p>
        </w:tc>
      </w:tr>
    </w:tbl>
    <w:p w:rsidR="001E547E" w:rsidRDefault="001E547E" w:rsidP="005D13EB"/>
    <w:p w:rsidR="004F06A6" w:rsidRDefault="00F27779" w:rsidP="005D13EB">
      <w:r>
        <w:t xml:space="preserve">In addition to the previous models, a </w:t>
      </w:r>
      <w:r w:rsidR="001E547E">
        <w:t>“Naïve” model was constructed according to the following equation.</w:t>
      </w:r>
    </w:p>
    <w:p w:rsidR="00530EE9" w:rsidRDefault="004F06A6" w:rsidP="001E547E">
      <w:pPr>
        <w:jc w:val="center"/>
      </w:pPr>
      <w:r w:rsidRPr="002D0983">
        <w:t>Δ</w:t>
      </w:r>
      <w:r w:rsidR="005D13EB" w:rsidRPr="002D0983">
        <w:t>Y</w:t>
      </w:r>
      <w:r w:rsidR="005D13EB" w:rsidRPr="002D0983">
        <w:rPr>
          <w:vertAlign w:val="subscript"/>
        </w:rPr>
        <w:t>t+1/</w:t>
      </w:r>
      <w:r w:rsidR="002952C4">
        <w:rPr>
          <w:vertAlign w:val="subscript"/>
        </w:rPr>
        <w:t>t</w:t>
      </w:r>
      <w:r w:rsidR="002952C4" w:rsidRPr="002952C4">
        <w:t xml:space="preserve"> </w:t>
      </w:r>
      <w:r w:rsidR="005D13EB" w:rsidRPr="002D0983">
        <w:t xml:space="preserve"> = (</w:t>
      </w:r>
      <w:r w:rsidRPr="002D0983">
        <w:t>Δ</w:t>
      </w:r>
      <w:r w:rsidR="005D13EB" w:rsidRPr="002D0983">
        <w:t>Y</w:t>
      </w:r>
      <w:r w:rsidR="005D13EB" w:rsidRPr="002D0983">
        <w:rPr>
          <w:vertAlign w:val="subscript"/>
        </w:rPr>
        <w:t>t</w:t>
      </w:r>
      <w:r w:rsidR="002952C4">
        <w:rPr>
          <w:vertAlign w:val="subscript"/>
        </w:rPr>
        <w:t>+</w:t>
      </w:r>
      <w:r w:rsidR="002952C4" w:rsidRPr="002952C4">
        <w:t xml:space="preserve"> </w:t>
      </w:r>
      <w:r w:rsidR="002952C4">
        <w:t>+</w:t>
      </w:r>
      <w:r w:rsidR="002952C4" w:rsidRPr="002D0983">
        <w:t>ΔY</w:t>
      </w:r>
      <w:r w:rsidR="002952C4" w:rsidRPr="002D0983">
        <w:rPr>
          <w:vertAlign w:val="subscript"/>
        </w:rPr>
        <w:t>t</w:t>
      </w:r>
      <w:r w:rsidR="002952C4">
        <w:rPr>
          <w:vertAlign w:val="subscript"/>
        </w:rPr>
        <w:t>-1</w:t>
      </w:r>
      <w:r w:rsidR="002952C4" w:rsidRPr="002D0983">
        <w:t xml:space="preserve"> </w:t>
      </w:r>
      <w:r w:rsidR="005D13EB" w:rsidRPr="002D0983">
        <w:t>+</w:t>
      </w:r>
      <w:r w:rsidRPr="002D0983">
        <w:t>Δ</w:t>
      </w:r>
      <w:r w:rsidR="005D13EB" w:rsidRPr="002D0983">
        <w:t>Y</w:t>
      </w:r>
      <w:r w:rsidR="005D13EB" w:rsidRPr="002D0983">
        <w:rPr>
          <w:vertAlign w:val="subscript"/>
        </w:rPr>
        <w:t>t-2</w:t>
      </w:r>
      <w:r w:rsidR="002952C4">
        <w:t>+</w:t>
      </w:r>
      <w:r w:rsidR="002952C4" w:rsidRPr="002D0983">
        <w:t>Δ</w:t>
      </w:r>
      <w:r w:rsidR="005D13EB" w:rsidRPr="002D0983">
        <w:t>Y</w:t>
      </w:r>
      <w:r w:rsidR="005D13EB" w:rsidRPr="002D0983">
        <w:rPr>
          <w:vertAlign w:val="subscript"/>
        </w:rPr>
        <w:t>t-3</w:t>
      </w:r>
      <w:r w:rsidR="005D13EB" w:rsidRPr="002D0983">
        <w:t>)/4</w:t>
      </w:r>
    </w:p>
    <w:p w:rsidR="004B7408" w:rsidRDefault="00F27779" w:rsidP="00874BCB">
      <w:r>
        <w:t xml:space="preserve">Pseudo Out-Of-Sample </w:t>
      </w:r>
      <w:r w:rsidR="00035128">
        <w:t>forecasts</w:t>
      </w:r>
      <w:r>
        <w:t xml:space="preserve"> for the Naïve, AR(1), and ADL(1/4) models are </w:t>
      </w:r>
      <w:r w:rsidR="00035128">
        <w:t>shown in figures 1, 2, and 3 respectively</w:t>
      </w:r>
      <w:r w:rsidR="00173671">
        <w:t xml:space="preserve"> in the back</w:t>
      </w:r>
      <w:bookmarkStart w:id="0" w:name="_GoBack"/>
      <w:bookmarkEnd w:id="0"/>
      <w:r w:rsidR="004B7408">
        <w:t>.</w:t>
      </w:r>
      <w:r w:rsidR="00173671">
        <w:t xml:space="preserve"> </w:t>
      </w:r>
    </w:p>
    <w:p w:rsidR="00613772" w:rsidRPr="00065E08" w:rsidRDefault="00F27779" w:rsidP="00874BCB">
      <w:r>
        <w:t>The RSMFE for the forecasts are as follows in table 6.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5E6AA7" w:rsidRPr="00065E08" w:rsidTr="005A0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5" w:type="dxa"/>
            <w:gridSpan w:val="3"/>
          </w:tcPr>
          <w:p w:rsidR="005E6AA7" w:rsidRPr="00065E08" w:rsidRDefault="001E547E" w:rsidP="005E6AA7">
            <w:r>
              <w:t xml:space="preserve">Table 6. </w:t>
            </w:r>
            <w:r w:rsidR="008F74BC" w:rsidRPr="00065E08">
              <w:t>RSMFE for Pseudo Out-Of-Sample Forecasts</w:t>
            </w:r>
          </w:p>
        </w:tc>
      </w:tr>
      <w:tr w:rsidR="005E6AA7" w:rsidRPr="00065E08" w:rsidTr="005A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E6AA7" w:rsidRPr="00065E08" w:rsidRDefault="008F74BC" w:rsidP="008F74BC">
            <w:pPr>
              <w:tabs>
                <w:tab w:val="left" w:pos="1515"/>
              </w:tabs>
            </w:pPr>
            <w:r w:rsidRPr="00065E08">
              <w:t>Model</w:t>
            </w:r>
            <w:r w:rsidRPr="00065E08">
              <w:tab/>
            </w:r>
          </w:p>
        </w:tc>
        <w:tc>
          <w:tcPr>
            <w:tcW w:w="1915" w:type="dxa"/>
          </w:tcPr>
          <w:p w:rsidR="005E6AA7" w:rsidRPr="00065E08" w:rsidRDefault="005E6AA7" w:rsidP="00874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5E08">
              <w:rPr>
                <w:b/>
              </w:rPr>
              <w:t>Mean Error</w:t>
            </w:r>
          </w:p>
        </w:tc>
        <w:tc>
          <w:tcPr>
            <w:tcW w:w="1915" w:type="dxa"/>
          </w:tcPr>
          <w:p w:rsidR="005E6AA7" w:rsidRPr="00065E08" w:rsidRDefault="005E6AA7" w:rsidP="005E6A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65E08">
              <w:rPr>
                <w:b/>
              </w:rPr>
              <w:t>Std. Dev</w:t>
            </w:r>
            <w:r w:rsidR="001E547E">
              <w:rPr>
                <w:b/>
              </w:rPr>
              <w:t>.</w:t>
            </w:r>
            <w:r w:rsidRPr="00065E08">
              <w:rPr>
                <w:b/>
              </w:rPr>
              <w:t xml:space="preserve"> Error</w:t>
            </w:r>
          </w:p>
        </w:tc>
      </w:tr>
      <w:tr w:rsidR="005E6AA7" w:rsidRPr="00065E08" w:rsidTr="005A0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E6AA7" w:rsidRPr="00065E08" w:rsidRDefault="00185146" w:rsidP="00874BCB">
            <w:pPr>
              <w:rPr>
                <w:b w:val="0"/>
              </w:rPr>
            </w:pPr>
            <w:r w:rsidRPr="00065E08">
              <w:rPr>
                <w:b w:val="0"/>
              </w:rPr>
              <w:t>AR(1)</w:t>
            </w:r>
          </w:p>
        </w:tc>
        <w:tc>
          <w:tcPr>
            <w:tcW w:w="1915" w:type="dxa"/>
          </w:tcPr>
          <w:p w:rsidR="005E6AA7" w:rsidRPr="00065E08" w:rsidRDefault="008F74BC" w:rsidP="00874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08">
              <w:t>.00149</w:t>
            </w:r>
          </w:p>
        </w:tc>
        <w:tc>
          <w:tcPr>
            <w:tcW w:w="1915" w:type="dxa"/>
          </w:tcPr>
          <w:p w:rsidR="005E6AA7" w:rsidRPr="00065E08" w:rsidRDefault="008F74BC" w:rsidP="00874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08">
              <w:t>.00578</w:t>
            </w:r>
          </w:p>
        </w:tc>
      </w:tr>
      <w:tr w:rsidR="005E6AA7" w:rsidRPr="00065E08" w:rsidTr="005A0B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5E6AA7" w:rsidRPr="00065E08" w:rsidRDefault="00185146" w:rsidP="00874BCB">
            <w:pPr>
              <w:rPr>
                <w:b w:val="0"/>
              </w:rPr>
            </w:pPr>
            <w:r w:rsidRPr="00065E08">
              <w:rPr>
                <w:b w:val="0"/>
              </w:rPr>
              <w:t>ADL(1/4)</w:t>
            </w:r>
          </w:p>
        </w:tc>
        <w:tc>
          <w:tcPr>
            <w:tcW w:w="1915" w:type="dxa"/>
          </w:tcPr>
          <w:p w:rsidR="005E6AA7" w:rsidRPr="00065E08" w:rsidRDefault="008F74BC" w:rsidP="00874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08">
              <w:t>.00159</w:t>
            </w:r>
          </w:p>
        </w:tc>
        <w:tc>
          <w:tcPr>
            <w:tcW w:w="1915" w:type="dxa"/>
          </w:tcPr>
          <w:p w:rsidR="005E6AA7" w:rsidRPr="00065E08" w:rsidRDefault="008F74BC" w:rsidP="00874B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E08">
              <w:t>.00570</w:t>
            </w:r>
          </w:p>
        </w:tc>
      </w:tr>
      <w:tr w:rsidR="008F74BC" w:rsidRPr="00065E08" w:rsidTr="005A0B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:rsidR="008F74BC" w:rsidRPr="00065E08" w:rsidRDefault="00185146" w:rsidP="00874BCB">
            <w:pPr>
              <w:rPr>
                <w:b w:val="0"/>
              </w:rPr>
            </w:pPr>
            <w:r w:rsidRPr="00065E08">
              <w:rPr>
                <w:b w:val="0"/>
              </w:rPr>
              <w:t>Naïve</w:t>
            </w:r>
          </w:p>
        </w:tc>
        <w:tc>
          <w:tcPr>
            <w:tcW w:w="1915" w:type="dxa"/>
          </w:tcPr>
          <w:p w:rsidR="008F74BC" w:rsidRPr="00065E08" w:rsidRDefault="008F74BC" w:rsidP="00874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08">
              <w:t>.00172</w:t>
            </w:r>
          </w:p>
        </w:tc>
        <w:tc>
          <w:tcPr>
            <w:tcW w:w="1915" w:type="dxa"/>
          </w:tcPr>
          <w:p w:rsidR="008F74BC" w:rsidRPr="00065E08" w:rsidRDefault="008F74BC" w:rsidP="00874B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E08">
              <w:t>.00619</w:t>
            </w:r>
          </w:p>
        </w:tc>
      </w:tr>
    </w:tbl>
    <w:p w:rsidR="00A02888" w:rsidRDefault="00A02888" w:rsidP="00F64389">
      <w:pPr>
        <w:rPr>
          <w:b/>
        </w:rPr>
      </w:pPr>
    </w:p>
    <w:p w:rsidR="00CE08B1" w:rsidRPr="00F27779" w:rsidRDefault="00F27779" w:rsidP="00F64389">
      <w:r>
        <w:t xml:space="preserve">The AR(1) model has the lowest mean error, but the ADL(1/4) model has lowest variance in its standard error. The Naïve model has a worse </w:t>
      </w:r>
      <w:r w:rsidR="007F609A">
        <w:t xml:space="preserve">RSMFE and </w:t>
      </w:r>
      <w:r>
        <w:t>higher variance in its error</w:t>
      </w:r>
      <w:r w:rsidR="007F609A">
        <w:t xml:space="preserve"> </w:t>
      </w:r>
      <w:r w:rsidR="004B7408">
        <w:t xml:space="preserve">term </w:t>
      </w:r>
      <w:r w:rsidR="007F609A">
        <w:t>than the other models</w:t>
      </w:r>
      <w:r>
        <w:t>.</w:t>
      </w:r>
      <w:r w:rsidR="00CE08B1">
        <w:t xml:space="preserve"> This would suggest that the AR(1) and ADL(1/4) models are better than the Naïve model.</w:t>
      </w:r>
    </w:p>
    <w:p w:rsidR="00613772" w:rsidRDefault="00613772" w:rsidP="00F64389">
      <w:pPr>
        <w:rPr>
          <w:b/>
        </w:rPr>
      </w:pPr>
    </w:p>
    <w:p w:rsidR="00F64389" w:rsidRPr="00065E08" w:rsidRDefault="00F64389" w:rsidP="00F64389">
      <w:pPr>
        <w:rPr>
          <w:b/>
        </w:rPr>
      </w:pPr>
      <w:r w:rsidRPr="00065E08">
        <w:rPr>
          <w:b/>
        </w:rPr>
        <w:t>Conclusion</w:t>
      </w:r>
    </w:p>
    <w:p w:rsidR="00F27779" w:rsidRDefault="00F27779" w:rsidP="00F27779">
      <w:r>
        <w:t xml:space="preserve">An ADL(1/4) model with lags of changes in interest rate has proven to be the best model. It explains the most of the variance in the data, although it has a </w:t>
      </w:r>
      <w:r w:rsidR="004B7408">
        <w:t xml:space="preserve">slightly </w:t>
      </w:r>
      <w:r>
        <w:t xml:space="preserve">higher </w:t>
      </w:r>
      <w:r w:rsidR="004B7408">
        <w:t xml:space="preserve">RSMFE </w:t>
      </w:r>
      <w:r w:rsidR="00CE08B1">
        <w:t>than the AR(1) model</w:t>
      </w:r>
      <w:r>
        <w:t xml:space="preserve">. It also </w:t>
      </w:r>
      <w:r>
        <w:lastRenderedPageBreak/>
        <w:t>has the lowest variance in its error term. The Naïve model is worse than both the AR(1</w:t>
      </w:r>
      <w:r w:rsidR="007F609A">
        <w:t>) model and the ADL(1/4) model. More than one lag</w:t>
      </w:r>
      <w:r w:rsidR="004B7408">
        <w:t>s</w:t>
      </w:r>
      <w:r w:rsidR="007F609A">
        <w:t xml:space="preserve"> in the AR models </w:t>
      </w:r>
      <w:r w:rsidR="00CE08B1">
        <w:t xml:space="preserve">are </w:t>
      </w:r>
      <w:r w:rsidR="007F609A">
        <w:t xml:space="preserve">not significant, although more lags of </w:t>
      </w:r>
      <w:r w:rsidR="004B7408">
        <w:t>changes</w:t>
      </w:r>
      <w:r w:rsidR="007F609A">
        <w:t xml:space="preserve"> in interest rate were. The ADL(1/4) model</w:t>
      </w:r>
      <w:r>
        <w:t xml:space="preserve"> </w:t>
      </w:r>
      <w:r w:rsidR="007F609A">
        <w:t>with lags of interest rate changes is shown to be the best</w:t>
      </w:r>
      <w:r w:rsidR="00CE08B1">
        <w:t xml:space="preserve"> for </w:t>
      </w:r>
      <w:r w:rsidR="007F609A">
        <w:t xml:space="preserve"> forecasting.</w:t>
      </w:r>
    </w:p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173671" w:rsidRDefault="00173671" w:rsidP="00F27779"/>
    <w:p w:rsidR="004B7408" w:rsidRPr="00173671" w:rsidRDefault="00173671" w:rsidP="00F27779">
      <w:pPr>
        <w:rPr>
          <w:b/>
        </w:rPr>
      </w:pPr>
      <w:r w:rsidRPr="00173671">
        <w:rPr>
          <w:b/>
        </w:rPr>
        <w:lastRenderedPageBreak/>
        <w:t>Figures</w:t>
      </w:r>
    </w:p>
    <w:p w:rsidR="004B7408" w:rsidRDefault="004B7408" w:rsidP="004B7408">
      <w:pPr>
        <w:jc w:val="center"/>
      </w:pPr>
      <w:r>
        <w:t>Figure 1.</w:t>
      </w:r>
    </w:p>
    <w:p w:rsidR="004B7408" w:rsidRDefault="004B7408" w:rsidP="004B7408">
      <w:r>
        <w:rPr>
          <w:noProof/>
        </w:rPr>
        <w:drawing>
          <wp:inline distT="0" distB="0" distL="0" distR="0" wp14:anchorId="56184845" wp14:editId="7C9974C6">
            <wp:extent cx="5112385" cy="3745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08" w:rsidRDefault="004B7408" w:rsidP="004B7408">
      <w:pPr>
        <w:jc w:val="center"/>
      </w:pPr>
    </w:p>
    <w:p w:rsidR="004B7408" w:rsidRDefault="004B7408" w:rsidP="004B7408">
      <w:pPr>
        <w:jc w:val="center"/>
      </w:pPr>
    </w:p>
    <w:p w:rsidR="004B7408" w:rsidRDefault="004B7408" w:rsidP="004B7408">
      <w:pPr>
        <w:jc w:val="center"/>
      </w:pPr>
    </w:p>
    <w:p w:rsidR="004B7408" w:rsidRDefault="004B7408" w:rsidP="004B7408">
      <w:pPr>
        <w:jc w:val="center"/>
      </w:pPr>
    </w:p>
    <w:p w:rsidR="004B7408" w:rsidRDefault="004B7408" w:rsidP="004B7408">
      <w:pPr>
        <w:jc w:val="center"/>
      </w:pPr>
    </w:p>
    <w:p w:rsidR="004B7408" w:rsidRDefault="004B7408" w:rsidP="004B7408">
      <w:pPr>
        <w:jc w:val="center"/>
      </w:pPr>
    </w:p>
    <w:p w:rsidR="004B7408" w:rsidRDefault="004B7408" w:rsidP="004B7408">
      <w:pPr>
        <w:jc w:val="center"/>
      </w:pPr>
    </w:p>
    <w:p w:rsidR="004B7408" w:rsidRDefault="004B7408" w:rsidP="004B7408">
      <w:pPr>
        <w:jc w:val="center"/>
      </w:pPr>
    </w:p>
    <w:p w:rsidR="004B7408" w:rsidRDefault="004B7408" w:rsidP="004B7408">
      <w:pPr>
        <w:jc w:val="center"/>
      </w:pPr>
    </w:p>
    <w:p w:rsidR="00173671" w:rsidRDefault="00173671" w:rsidP="004B7408">
      <w:pPr>
        <w:jc w:val="center"/>
      </w:pPr>
    </w:p>
    <w:p w:rsidR="00173671" w:rsidRDefault="00173671" w:rsidP="004B7408">
      <w:pPr>
        <w:jc w:val="center"/>
      </w:pPr>
    </w:p>
    <w:p w:rsidR="004B7408" w:rsidRDefault="004B7408" w:rsidP="004B7408">
      <w:pPr>
        <w:jc w:val="center"/>
      </w:pPr>
      <w:r>
        <w:lastRenderedPageBreak/>
        <w:t>Figure 2</w:t>
      </w:r>
    </w:p>
    <w:p w:rsidR="004B7408" w:rsidRDefault="004B7408" w:rsidP="004B7408">
      <w:r>
        <w:rPr>
          <w:noProof/>
        </w:rPr>
        <w:drawing>
          <wp:inline distT="0" distB="0" distL="0" distR="0" wp14:anchorId="2621DDD9" wp14:editId="7C488281">
            <wp:extent cx="5112385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08" w:rsidRDefault="004B7408" w:rsidP="004B7408"/>
    <w:p w:rsidR="004B7408" w:rsidRDefault="004B7408" w:rsidP="004B7408"/>
    <w:p w:rsidR="004B7408" w:rsidRDefault="004B7408" w:rsidP="004B7408"/>
    <w:p w:rsidR="004B7408" w:rsidRDefault="004B7408" w:rsidP="004B7408"/>
    <w:p w:rsidR="004B7408" w:rsidRDefault="004B7408" w:rsidP="004B7408"/>
    <w:p w:rsidR="004B7408" w:rsidRDefault="004B7408" w:rsidP="004B7408"/>
    <w:p w:rsidR="004B7408" w:rsidRDefault="004B7408" w:rsidP="004B7408"/>
    <w:p w:rsidR="004B7408" w:rsidRDefault="004B7408" w:rsidP="004B7408"/>
    <w:p w:rsidR="004B7408" w:rsidRDefault="004B7408" w:rsidP="004B7408"/>
    <w:p w:rsidR="00173671" w:rsidRDefault="00173671" w:rsidP="004B7408">
      <w:pPr>
        <w:jc w:val="center"/>
      </w:pPr>
    </w:p>
    <w:p w:rsidR="00173671" w:rsidRDefault="00173671" w:rsidP="004B7408">
      <w:pPr>
        <w:jc w:val="center"/>
      </w:pPr>
    </w:p>
    <w:p w:rsidR="00173671" w:rsidRDefault="00173671" w:rsidP="004B7408">
      <w:pPr>
        <w:jc w:val="center"/>
      </w:pPr>
    </w:p>
    <w:p w:rsidR="004B7408" w:rsidRDefault="004B7408" w:rsidP="004B7408">
      <w:pPr>
        <w:jc w:val="center"/>
      </w:pPr>
      <w:r>
        <w:lastRenderedPageBreak/>
        <w:t>Figure 3.</w:t>
      </w:r>
    </w:p>
    <w:p w:rsidR="004B7408" w:rsidRDefault="004B7408" w:rsidP="004B7408">
      <w:r>
        <w:rPr>
          <w:noProof/>
        </w:rPr>
        <w:drawing>
          <wp:inline distT="0" distB="0" distL="0" distR="0" wp14:anchorId="04C3834E" wp14:editId="5B91054D">
            <wp:extent cx="5114925" cy="3743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08" w:rsidRDefault="004B7408" w:rsidP="004B7408"/>
    <w:p w:rsidR="004B7408" w:rsidRPr="00F27779" w:rsidRDefault="004B7408" w:rsidP="00F27779"/>
    <w:sectPr w:rsidR="004B7408" w:rsidRPr="00F2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BBC" w:rsidRDefault="00866BBC" w:rsidP="00A02888">
      <w:pPr>
        <w:spacing w:after="0" w:line="240" w:lineRule="auto"/>
      </w:pPr>
      <w:r>
        <w:separator/>
      </w:r>
    </w:p>
  </w:endnote>
  <w:endnote w:type="continuationSeparator" w:id="0">
    <w:p w:rsidR="00866BBC" w:rsidRDefault="00866BBC" w:rsidP="00A0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BBC" w:rsidRDefault="00866BBC" w:rsidP="00A02888">
      <w:pPr>
        <w:spacing w:after="0" w:line="240" w:lineRule="auto"/>
      </w:pPr>
      <w:r>
        <w:separator/>
      </w:r>
    </w:p>
  </w:footnote>
  <w:footnote w:type="continuationSeparator" w:id="0">
    <w:p w:rsidR="00866BBC" w:rsidRDefault="00866BBC" w:rsidP="00A02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89"/>
    <w:rsid w:val="00035128"/>
    <w:rsid w:val="000471AB"/>
    <w:rsid w:val="00065E08"/>
    <w:rsid w:val="000A31D3"/>
    <w:rsid w:val="001051DE"/>
    <w:rsid w:val="00173671"/>
    <w:rsid w:val="00185146"/>
    <w:rsid w:val="001D0256"/>
    <w:rsid w:val="001E547E"/>
    <w:rsid w:val="002952C4"/>
    <w:rsid w:val="002D0983"/>
    <w:rsid w:val="003411E6"/>
    <w:rsid w:val="00393EE1"/>
    <w:rsid w:val="003A3240"/>
    <w:rsid w:val="003F0B33"/>
    <w:rsid w:val="00420B0F"/>
    <w:rsid w:val="00437100"/>
    <w:rsid w:val="0049737D"/>
    <w:rsid w:val="004B7408"/>
    <w:rsid w:val="004F06A6"/>
    <w:rsid w:val="004F15E8"/>
    <w:rsid w:val="00530EE9"/>
    <w:rsid w:val="005A0B55"/>
    <w:rsid w:val="005D13EB"/>
    <w:rsid w:val="005E57E6"/>
    <w:rsid w:val="005E6AA7"/>
    <w:rsid w:val="00613772"/>
    <w:rsid w:val="006533F4"/>
    <w:rsid w:val="00666CFC"/>
    <w:rsid w:val="00690539"/>
    <w:rsid w:val="00734AC1"/>
    <w:rsid w:val="007373D2"/>
    <w:rsid w:val="00767C4B"/>
    <w:rsid w:val="00790C71"/>
    <w:rsid w:val="007B0770"/>
    <w:rsid w:val="007D0BFE"/>
    <w:rsid w:val="007F609A"/>
    <w:rsid w:val="008318FA"/>
    <w:rsid w:val="0086236E"/>
    <w:rsid w:val="00866BBC"/>
    <w:rsid w:val="00874BCB"/>
    <w:rsid w:val="008F74BC"/>
    <w:rsid w:val="0098551F"/>
    <w:rsid w:val="00995DBE"/>
    <w:rsid w:val="009D22E7"/>
    <w:rsid w:val="00A02888"/>
    <w:rsid w:val="00BD6201"/>
    <w:rsid w:val="00CE08B1"/>
    <w:rsid w:val="00CE41AA"/>
    <w:rsid w:val="00D4239B"/>
    <w:rsid w:val="00EE7D0A"/>
    <w:rsid w:val="00F27779"/>
    <w:rsid w:val="00F34345"/>
    <w:rsid w:val="00F345FA"/>
    <w:rsid w:val="00F64389"/>
    <w:rsid w:val="00F7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F3434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0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888"/>
  </w:style>
  <w:style w:type="paragraph" w:styleId="Footer">
    <w:name w:val="footer"/>
    <w:basedOn w:val="Normal"/>
    <w:link w:val="FooterChar"/>
    <w:uiPriority w:val="99"/>
    <w:unhideWhenUsed/>
    <w:rsid w:val="00A0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888"/>
  </w:style>
  <w:style w:type="paragraph" w:styleId="BalloonText">
    <w:name w:val="Balloon Text"/>
    <w:basedOn w:val="Normal"/>
    <w:link w:val="BalloonTextChar"/>
    <w:uiPriority w:val="99"/>
    <w:semiHidden/>
    <w:unhideWhenUsed/>
    <w:rsid w:val="002D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23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F34345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0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888"/>
  </w:style>
  <w:style w:type="paragraph" w:styleId="Footer">
    <w:name w:val="footer"/>
    <w:basedOn w:val="Normal"/>
    <w:link w:val="FooterChar"/>
    <w:uiPriority w:val="99"/>
    <w:unhideWhenUsed/>
    <w:rsid w:val="00A0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888"/>
  </w:style>
  <w:style w:type="paragraph" w:styleId="BalloonText">
    <w:name w:val="Balloon Text"/>
    <w:basedOn w:val="Normal"/>
    <w:link w:val="BalloonTextChar"/>
    <w:uiPriority w:val="99"/>
    <w:semiHidden/>
    <w:unhideWhenUsed/>
    <w:rsid w:val="002D0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2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E9A76-4E35-4B3C-97B3-D5B24147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7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25</cp:revision>
  <dcterms:created xsi:type="dcterms:W3CDTF">2014-11-27T20:37:00Z</dcterms:created>
  <dcterms:modified xsi:type="dcterms:W3CDTF">2014-12-01T21:33:00Z</dcterms:modified>
</cp:coreProperties>
</file>