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highlight w:val="none"/>
        </w:rPr>
      </w:pPr>
      <w:r>
        <w:rPr>
          <w:b/>
          <w:bCs/>
        </w:rPr>
      </w:r>
      <w:r>
        <w:rPr>
          <w:b/>
          <w:bCs/>
        </w:rPr>
        <w:t xml:space="preserve">INFORME DE AVANCES Y GESTIONES REALIZADAS CON POSTERIORIDAD A LA FISCALIZACIÓN</w:t>
        <w:br/>
        <w:t xml:space="preserve">ROL F1095-25</w:t>
      </w:r>
      <w:r>
        <w:rPr>
          <w:b/>
          <w:bCs/>
        </w:rPr>
      </w:r>
      <w:r>
        <w:rPr>
          <w:b/>
          <w:bCs/>
        </w:rPr>
      </w:r>
    </w:p>
    <w:p w14:paraId="56A0F0A5">
      <w:pPr>
        <w:pBdr/>
        <w:spacing/>
        <w:ind/>
        <w:jc w:val="both"/>
        <w:rPr>
          <w:b/>
          <w:bCs/>
        </w:rPr>
      </w:pPr>
      <w:r>
        <w:rPr>
          <w:b/>
          <w:bCs/>
        </w:rPr>
      </w:r>
      <w:r>
        <w:rPr>
          <w:b/>
          <w:bCs/>
        </w:rPr>
      </w:r>
      <w:r>
        <w:rPr>
          <w:b/>
          <w:bCs/>
        </w:rPr>
      </w:r>
    </w:p>
    <w:p w14:paraId="473CB70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sz w:val="22"/>
          <w:szCs w:val="22"/>
        </w:rPr>
        <w:t xml:space="preserve">En atención a lo solicitado por el Departamento Jurídico, y con el objeto de contribuir a la elaboración de los descargos respectivos respecto del Informe de Fiscalización de Cumplimiento Rol F1095-25, se informan a continuación las principales acciones, g</w:t>
      </w:r>
      <w:r>
        <w:rPr>
          <w:rFonts w:ascii="Calibri" w:hAnsi="Calibri" w:eastAsia="Calibri" w:cs="Calibri"/>
          <w:sz w:val="22"/>
          <w:szCs w:val="22"/>
        </w:rPr>
        <w:t xml:space="preserve">estiones y avances realizados con posterioridad a la fecha de fiscalización.</w:t>
      </w:r>
      <w:r>
        <w:rPr>
          <w:rFonts w:ascii="Calibri" w:hAnsi="Calibri" w:eastAsia="Calibri" w:cs="Calibri"/>
          <w:sz w:val="22"/>
          <w:szCs w:val="22"/>
        </w:rPr>
      </w:r>
    </w:p>
    <w:p w14:paraId="3A88E45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highlight w:val="none"/>
        </w:rPr>
      </w:pPr>
      <w:r>
        <w:rPr>
          <w:rFonts w:ascii="Calibri" w:hAnsi="Calibri" w:eastAsia="Calibri" w:cs="Calibri"/>
          <w:sz w:val="22"/>
          <w:szCs w:val="22"/>
        </w:rPr>
        <w:t xml:space="preserve">Cabe hacer presente, en primer término, que durante el período objeto de fiscalización que dio origen al referido informe, quien suscribe no se desempeñaba a cargo de la función de Transparencia, por lo que las observaciones formuladas se enmarcan, en part</w:t>
      </w:r>
      <w:r>
        <w:rPr>
          <w:rFonts w:ascii="Calibri" w:hAnsi="Calibri" w:eastAsia="Calibri" w:cs="Calibri"/>
          <w:sz w:val="22"/>
          <w:szCs w:val="22"/>
        </w:rPr>
        <w:t xml:space="preserve">e, en una situación preexistente. Sin perjuicio de ello, una vez asumidas labores vinculadas a esta materia, se ha trabajado sostenidamente en un proceso de regularización, mejora y adecuación normativa del portal de Transparencia Activa </w:t>
      </w:r>
      <w:r>
        <w:rPr>
          <w:rFonts w:ascii="Calibri" w:hAnsi="Calibri" w:eastAsia="Calibri" w:cs="Calibri"/>
          <w:sz w:val="22"/>
          <w:szCs w:val="22"/>
          <w:lang w:val="es-CL"/>
        </w:rPr>
        <w:t xml:space="preserve">Municipal</w:t>
      </w:r>
      <w:r>
        <w:rPr>
          <w:rFonts w:ascii="Calibri" w:hAnsi="Calibri" w:eastAsia="Calibri" w:cs="Calibri"/>
          <w:sz w:val="22"/>
          <w:szCs w:val="22"/>
        </w:rPr>
        <w:t xml:space="preserve">.</w:t>
      </w:r>
      <w:r>
        <w:rPr>
          <w:rFonts w:ascii="Calibri" w:hAnsi="Calibri" w:eastAsia="Calibri" w:cs="Calibri"/>
          <w:sz w:val="22"/>
          <w:szCs w:val="22"/>
        </w:rPr>
      </w:r>
    </w:p>
    <w:p w14:paraId="790EDC9B">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1. Proceso de migración al Portal para la Transparencia</w:t>
      </w:r>
      <w:r>
        <w:rPr>
          <w:rFonts w:ascii="Calibri" w:hAnsi="Calibri" w:eastAsia="Calibri" w:cs="Calibri"/>
          <w:sz w:val="22"/>
          <w:szCs w:val="22"/>
        </w:rPr>
      </w:r>
    </w:p>
    <w:p w14:paraId="290711B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Una de las primeras medidas adoptadas consistió en la </w:t>
      </w:r>
      <w:r>
        <w:rPr>
          <w:rFonts w:ascii="Calibri" w:hAnsi="Calibri" w:eastAsia="Calibri" w:cs="Calibri"/>
          <w:b w:val="0"/>
          <w:bCs w:val="0"/>
          <w:color w:val="000000"/>
          <w:sz w:val="22"/>
          <w:szCs w:val="22"/>
        </w:rPr>
        <w:t xml:space="preserve">migración de la información de Transparencia Activa desde la página web municipal al Portal para la Transparencia</w:t>
      </w:r>
      <w:r>
        <w:rPr>
          <w:rFonts w:ascii="Calibri" w:hAnsi="Calibri" w:eastAsia="Calibri" w:cs="Calibri"/>
          <w:b w:val="0"/>
          <w:bCs w:val="0"/>
          <w:color w:val="000000"/>
          <w:sz w:val="22"/>
          <w:szCs w:val="22"/>
        </w:rPr>
        <w:t xml:space="preserve">, proceso para el cual se contó con apoyo contratado especialmente para tales efectos.</w:t>
      </w:r>
      <w:r>
        <w:rPr>
          <w:rFonts w:ascii="Calibri" w:hAnsi="Calibri" w:eastAsia="Calibri" w:cs="Calibri"/>
          <w:b w:val="0"/>
          <w:bCs w:val="0"/>
          <w:sz w:val="22"/>
          <w:szCs w:val="22"/>
        </w:rPr>
      </w:r>
    </w:p>
    <w:p w14:paraId="64B5916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La migración se desarrolló de manera progresiva, comenzando por la información más reciente y avanzando hacia la documentación más antigua. Este proceso permitió no solo trasladar información previamente publicada, sino también revisar la estructura exigid</w:t>
      </w:r>
      <w:r>
        <w:rPr>
          <w:rFonts w:ascii="Calibri" w:hAnsi="Calibri" w:eastAsia="Calibri" w:cs="Calibri"/>
          <w:color w:val="000000"/>
          <w:sz w:val="22"/>
          <w:szCs w:val="22"/>
        </w:rPr>
        <w:t xml:space="preserve">a por el Consejo para la Transparencia, advirtiéndose que existían ítems que históricamente no habían sido completados, así como otros cuya publicación no había sido solicitada ni gestionada con anterioridad.</w:t>
      </w:r>
      <w:r>
        <w:rPr>
          <w:rFonts w:ascii="Calibri" w:hAnsi="Calibri" w:eastAsia="Calibri" w:cs="Calibri"/>
          <w:sz w:val="22"/>
          <w:szCs w:val="22"/>
        </w:rPr>
      </w:r>
    </w:p>
    <w:p w14:paraId="6BDB034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rPr>
      </w:pPr>
      <w:r>
        <w:rPr>
          <w:rFonts w:ascii="Calibri" w:hAnsi="Calibri" w:eastAsia="Calibri" w:cs="Calibri"/>
          <w:color w:val="000000"/>
          <w:sz w:val="22"/>
          <w:szCs w:val="22"/>
        </w:rPr>
        <w:t xml:space="preserve">A partir de dicho diagnóstico, se inició un proceso de levantamiento y requerimiento de información a las distintas unidades municipales, tanto respecto de antecedentes que ya se venían publicando en la página web institucional como respecto de materias qu</w:t>
      </w:r>
      <w:r>
        <w:rPr>
          <w:rFonts w:ascii="Calibri" w:hAnsi="Calibri" w:eastAsia="Calibri" w:cs="Calibri"/>
          <w:color w:val="000000"/>
          <w:sz w:val="22"/>
          <w:szCs w:val="22"/>
        </w:rPr>
        <w:t xml:space="preserve">e no estaban siendo informadas conforme a la estructura y exigencias del portal del Consejo para la Transparencia.</w:t>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14:paraId="3A2FB660">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2. Trabajo de regularización y coordinación interna</w:t>
      </w:r>
      <w:r>
        <w:rPr>
          <w:rFonts w:ascii="Calibri" w:hAnsi="Calibri" w:eastAsia="Calibri" w:cs="Calibri"/>
          <w:sz w:val="22"/>
          <w:szCs w:val="22"/>
        </w:rPr>
      </w:r>
    </w:p>
    <w:p w14:paraId="5D5DD60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En paralelo al proceso de migración, se desarrolló un trabajo de coordinación con funcionarios, departamentos y unidades municipales, orientado a informar los incumplimientos detectados y fortalecer el cumplimiento de las obligaciones de Transparencia Acti</w:t>
      </w:r>
      <w:r>
        <w:rPr>
          <w:rFonts w:ascii="Calibri" w:hAnsi="Calibri" w:eastAsia="Calibri" w:cs="Calibri"/>
          <w:color w:val="000000"/>
          <w:sz w:val="22"/>
          <w:szCs w:val="22"/>
        </w:rPr>
        <w:t xml:space="preserve">va.</w:t>
      </w:r>
      <w:r>
        <w:rPr>
          <w:rFonts w:ascii="Calibri" w:hAnsi="Calibri" w:eastAsia="Calibri" w:cs="Calibri"/>
          <w:sz w:val="22"/>
          <w:szCs w:val="22"/>
        </w:rPr>
      </w:r>
    </w:p>
    <w:p w14:paraId="5EB82473">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lang w:val="es-CL"/>
        </w:rPr>
        <w:t xml:space="preserve">S</w:t>
      </w:r>
      <w:r>
        <w:rPr>
          <w:rFonts w:ascii="Calibri" w:hAnsi="Calibri" w:eastAsia="Calibri" w:cs="Calibri"/>
          <w:color w:val="000000"/>
          <w:sz w:val="22"/>
          <w:szCs w:val="22"/>
        </w:rPr>
        <w:t xml:space="preserve">e realizaron acciones de acompañamiento y orientación técnica, consistentes en:</w:t>
      </w:r>
      <w:r>
        <w:rPr>
          <w:rFonts w:ascii="Calibri" w:hAnsi="Calibri" w:eastAsia="Calibri" w:cs="Calibri"/>
          <w:sz w:val="22"/>
          <w:szCs w:val="22"/>
        </w:rPr>
      </w:r>
    </w:p>
    <w:p w14:paraId="0101ED05">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lang w:val="es-CL"/>
        </w:rPr>
        <w:t xml:space="preserve">I</w:t>
      </w:r>
      <w:r>
        <w:rPr>
          <w:rFonts w:ascii="Calibri" w:hAnsi="Calibri" w:eastAsia="Calibri" w:cs="Calibri"/>
          <w:color w:val="000000"/>
          <w:sz w:val="22"/>
          <w:szCs w:val="22"/>
        </w:rPr>
        <w:t xml:space="preserve">nformar a las unidades sobre las observaciones e incumplimientos detectados;</w:t>
      </w:r>
      <w:r>
        <w:rPr>
          <w:rFonts w:ascii="Calibri" w:hAnsi="Calibri" w:eastAsia="Calibri" w:cs="Calibri"/>
          <w:sz w:val="22"/>
          <w:szCs w:val="22"/>
        </w:rPr>
      </w:r>
    </w:p>
    <w:p w14:paraId="1D0E5F3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lang w:val="es-CL"/>
        </w:rPr>
        <w:t xml:space="preserve">E</w:t>
      </w:r>
      <w:r>
        <w:rPr>
          <w:rFonts w:ascii="Calibri" w:hAnsi="Calibri" w:eastAsia="Calibri" w:cs="Calibri"/>
          <w:color w:val="000000"/>
          <w:sz w:val="22"/>
          <w:szCs w:val="22"/>
        </w:rPr>
        <w:t xml:space="preserve">xplicar la forma correcta de completar las planillas de transparencia;</w:t>
      </w:r>
      <w:r>
        <w:rPr>
          <w:rFonts w:ascii="Calibri" w:hAnsi="Calibri" w:eastAsia="Calibri" w:cs="Calibri"/>
          <w:sz w:val="22"/>
          <w:szCs w:val="22"/>
        </w:rPr>
      </w:r>
    </w:p>
    <w:p w14:paraId="373D995C">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lang w:val="es-CL"/>
        </w:rPr>
        <w:t xml:space="preserve">I</w:t>
      </w:r>
      <w:r>
        <w:rPr>
          <w:rFonts w:ascii="Calibri" w:hAnsi="Calibri" w:eastAsia="Calibri" w:cs="Calibri"/>
          <w:color w:val="000000"/>
          <w:sz w:val="22"/>
          <w:szCs w:val="22"/>
        </w:rPr>
        <w:t xml:space="preserve">ndicar qué documentos debían adjuntarse en cada caso;</w:t>
      </w:r>
      <w:r>
        <w:rPr>
          <w:rFonts w:ascii="Calibri" w:hAnsi="Calibri" w:eastAsia="Calibri" w:cs="Calibri"/>
          <w:sz w:val="22"/>
          <w:szCs w:val="22"/>
        </w:rPr>
      </w:r>
    </w:p>
    <w:p w14:paraId="34764C3C">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lang w:val="es-CL"/>
        </w:rPr>
        <w:t xml:space="preserve">O</w:t>
      </w:r>
      <w:r>
        <w:rPr>
          <w:rFonts w:ascii="Calibri" w:hAnsi="Calibri" w:eastAsia="Calibri" w:cs="Calibri"/>
          <w:color w:val="000000"/>
          <w:sz w:val="22"/>
          <w:szCs w:val="22"/>
        </w:rPr>
        <w:t xml:space="preserve">rientar respecto del uso de tipologías y criterios de clasificación aplicables;</w:t>
      </w:r>
      <w:r>
        <w:rPr>
          <w:rFonts w:ascii="Calibri" w:hAnsi="Calibri" w:eastAsia="Calibri" w:cs="Calibri"/>
          <w:sz w:val="22"/>
          <w:szCs w:val="22"/>
        </w:rPr>
      </w:r>
    </w:p>
    <w:p w14:paraId="2C2F6A5E">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lang w:val="es-CL"/>
        </w:rPr>
        <w:t xml:space="preserve">A</w:t>
      </w:r>
      <w:r>
        <w:rPr>
          <w:rFonts w:ascii="Calibri" w:hAnsi="Calibri" w:eastAsia="Calibri" w:cs="Calibri"/>
          <w:color w:val="000000"/>
          <w:sz w:val="22"/>
          <w:szCs w:val="22"/>
        </w:rPr>
        <w:t xml:space="preserve">decuar la información </w:t>
      </w:r>
      <w:r>
        <w:rPr>
          <w:rFonts w:ascii="Calibri" w:hAnsi="Calibri" w:eastAsia="Calibri" w:cs="Calibri"/>
          <w:color w:val="000000"/>
          <w:sz w:val="22"/>
          <w:szCs w:val="22"/>
          <w:lang w:val="es-CL"/>
        </w:rPr>
        <w:t xml:space="preserve">municipal</w:t>
      </w:r>
      <w:r>
        <w:rPr>
          <w:rFonts w:ascii="Calibri" w:hAnsi="Calibri" w:eastAsia="Calibri" w:cs="Calibri"/>
          <w:color w:val="000000"/>
          <w:sz w:val="22"/>
          <w:szCs w:val="22"/>
          <w:lang w:val="es-CL"/>
        </w:rPr>
        <w:t xml:space="preserve"> </w:t>
      </w:r>
      <w:r>
        <w:rPr>
          <w:rFonts w:ascii="Calibri" w:hAnsi="Calibri" w:eastAsia="Calibri" w:cs="Calibri"/>
          <w:color w:val="000000"/>
          <w:sz w:val="22"/>
          <w:szCs w:val="22"/>
        </w:rPr>
        <w:t xml:space="preserve">a las exigencias vigentes, inicialmente conforme al </w:t>
      </w:r>
      <w:r>
        <w:rPr>
          <w:rFonts w:ascii="Calibri" w:hAnsi="Calibri" w:eastAsia="Calibri" w:cs="Calibri"/>
          <w:b w:val="0"/>
          <w:bCs w:val="0"/>
          <w:color w:val="000000"/>
          <w:sz w:val="22"/>
          <w:szCs w:val="22"/>
        </w:rPr>
        <w:t xml:space="preserve">Decreto Exento N.º 500</w:t>
      </w:r>
      <w:r>
        <w:rPr>
          <w:rFonts w:ascii="Calibri" w:hAnsi="Calibri" w:eastAsia="Calibri" w:cs="Calibri"/>
          <w:b w:val="0"/>
          <w:bCs w:val="0"/>
          <w:color w:val="000000"/>
          <w:sz w:val="22"/>
          <w:szCs w:val="22"/>
        </w:rPr>
        <w:t xml:space="preserve">, y actualmente en proceso de adaptación al </w:t>
      </w:r>
      <w:r>
        <w:rPr>
          <w:rFonts w:ascii="Calibri" w:hAnsi="Calibri" w:eastAsia="Calibri" w:cs="Calibri"/>
          <w:b w:val="0"/>
          <w:bCs w:val="0"/>
          <w:color w:val="000000"/>
          <w:sz w:val="22"/>
          <w:szCs w:val="22"/>
        </w:rPr>
        <w:t xml:space="preserve">Decreto Exento D80</w:t>
      </w:r>
      <w:r>
        <w:rPr>
          <w:rFonts w:ascii="Calibri" w:hAnsi="Calibri" w:eastAsia="Calibri" w:cs="Calibri"/>
          <w:b w:val="0"/>
          <w:bCs w:val="0"/>
          <w:color w:val="000000"/>
          <w:sz w:val="22"/>
          <w:szCs w:val="22"/>
        </w:rPr>
        <w:t xml:space="preserve">. </w:t>
      </w:r>
      <w:r>
        <w:rPr>
          <w:rFonts w:ascii="Calibri" w:hAnsi="Calibri" w:eastAsia="Calibri" w:cs="Calibri"/>
          <w:sz w:val="22"/>
          <w:szCs w:val="22"/>
        </w:rPr>
      </w:r>
    </w:p>
    <w:p w14:paraId="49AF7FA3">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lang w:val="es-CL"/>
        </w:rPr>
      </w:pPr>
      <w:r>
        <w:rPr>
          <w:rFonts w:ascii="Calibri" w:hAnsi="Calibri" w:eastAsia="Calibri" w:cs="Calibri"/>
          <w:color w:val="000000"/>
          <w:sz w:val="22"/>
          <w:szCs w:val="22"/>
        </w:rPr>
        <w:t xml:space="preserve">Este trabajo ha implicado una revisión continua de contenidos, formatos, enlaces, documentos adjuntos y estructura de publicación, con el objeto de corregir deficiencias históricas y avanzar hacia un cumplimiento más consistente de la </w:t>
      </w:r>
      <w:r>
        <w:rPr>
          <w:rFonts w:ascii="Calibri" w:hAnsi="Calibri" w:eastAsia="Calibri" w:cs="Calibri"/>
          <w:color w:val="000000"/>
          <w:sz w:val="22"/>
          <w:szCs w:val="22"/>
          <w:lang w:val="es-CL"/>
        </w:rPr>
        <w:t xml:space="preserve">ley 20.285.</w:t>
      </w:r>
      <w:r>
        <w:rPr>
          <w:rFonts w:ascii="Calibri" w:hAnsi="Calibri" w:cs="Calibri"/>
          <w:sz w:val="22"/>
          <w:szCs w:val="22"/>
        </w:rPr>
      </w:r>
    </w:p>
    <w:p w14:paraId="1702F70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bCs/>
          <w:color w:val="000000"/>
          <w:sz w:val="22"/>
          <w:szCs w:val="22"/>
          <w:highlight w:val="none"/>
        </w:rPr>
      </w:pPr>
      <w:r>
        <w:rPr>
          <w:rFonts w:ascii="Calibri" w:hAnsi="Calibri" w:eastAsia="Calibri" w:cs="Calibri"/>
          <w:b/>
          <w:bCs/>
          <w:color w:val="000000"/>
          <w:sz w:val="22"/>
          <w:szCs w:val="22"/>
          <w:highlight w:val="none"/>
          <w:lang w:val="es-CL"/>
        </w:rPr>
        <w:t xml:space="preserve">Evidencia:</w:t>
      </w:r>
      <w:r>
        <w:rPr>
          <w:rFonts w:ascii="Calibri" w:hAnsi="Calibri" w:cs="Calibri"/>
          <w:b/>
          <w:bCs/>
          <w:sz w:val="22"/>
          <w:szCs w:val="22"/>
        </w:rPr>
      </w:r>
    </w:p>
    <w:p w14:paraId="7D51FC4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highlight w:val="none"/>
          <w:lang w:val="es-CL"/>
        </w:rPr>
      </w:r>
      <w:r>
        <w:rPr>
          <w:rFonts w:ascii="Calibri" w:hAnsi="Calibri" w:eastAsia="Calibri" w:cs="Calibri"/>
          <w:color w:val="000000"/>
          <w:sz w:val="22"/>
          <w:szCs w:val="22"/>
          <w:highlight w:val="none"/>
          <w:lang w:val="es-CL"/>
        </w:rPr>
      </w:r>
      <w:r>
        <w:rPr>
          <w:rFonts w:ascii="Calibri" w:hAnsi="Calibri" w:eastAsia="Calibri" w:cs="Calibri"/>
          <w:color w:val="000000"/>
          <w:sz w:val="22"/>
          <w:szCs w:val="22"/>
          <w:highlight w:val="none"/>
          <w:lang w:val="es-CL"/>
        </w:rPr>
      </w:r>
    </w:p>
    <w:p w14:paraId="4FB0E854">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3. Reparación de enlaces, revisión documental y búsqueda de antecedentes históricos</w:t>
      </w:r>
      <w:r>
        <w:rPr>
          <w:rFonts w:ascii="Calibri" w:hAnsi="Calibri" w:eastAsia="Calibri" w:cs="Calibri"/>
          <w:sz w:val="22"/>
          <w:szCs w:val="22"/>
        </w:rPr>
      </w:r>
    </w:p>
    <w:p w14:paraId="4977619E">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Como parte del proceso de mejora, se han efectuado diversas acciones destinadas a reparar enlaces rotos y recuperar información faltante correspondiente a períodos anteriores. Para ello, se ha realizado búsqueda de documentación en bodega y revisión de ant</w:t>
      </w:r>
      <w:r>
        <w:rPr>
          <w:rFonts w:ascii="Calibri" w:hAnsi="Calibri" w:eastAsia="Calibri" w:cs="Calibri"/>
          <w:color w:val="000000"/>
          <w:sz w:val="22"/>
          <w:szCs w:val="22"/>
        </w:rPr>
        <w:t xml:space="preserve">ecedentes históricos, con el fin de reincorporar información que no se encontraba disponible en el portal o cuyos accesos presentaban errores.</w:t>
      </w:r>
      <w:r>
        <w:rPr>
          <w:rFonts w:ascii="Calibri" w:hAnsi="Calibri" w:eastAsia="Calibri" w:cs="Calibri"/>
          <w:sz w:val="22"/>
          <w:szCs w:val="22"/>
        </w:rPr>
      </w:r>
    </w:p>
    <w:p w14:paraId="3493F26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Asimismo, se han revisado las observaciones formuladas por el Consejo para la Transparencia, abordándolas en conjunto con los departamentos y unidades involucradas, logrando corregir una parte importante de ellas.</w:t>
      </w:r>
      <w:r>
        <w:rPr>
          <w:rFonts w:ascii="Calibri" w:hAnsi="Calibri" w:eastAsia="Calibri" w:cs="Calibri"/>
          <w:sz w:val="22"/>
          <w:szCs w:val="22"/>
        </w:rPr>
      </w:r>
    </w:p>
    <w:p w14:paraId="292817A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val="0"/>
          <w:bCs w:val="0"/>
          <w:color w:val="000000"/>
          <w:sz w:val="22"/>
          <w:szCs w:val="22"/>
          <w:highlight w:val="none"/>
        </w:rPr>
      </w:pPr>
      <w:r>
        <w:rPr>
          <w:rFonts w:ascii="Calibri" w:hAnsi="Calibri" w:eastAsia="Calibri" w:cs="Calibri"/>
          <w:b w:val="0"/>
          <w:bCs w:val="0"/>
          <w:color w:val="000000"/>
          <w:sz w:val="22"/>
          <w:szCs w:val="22"/>
        </w:rPr>
        <w:t xml:space="preserve">No obstante, se mantiene pendiente el </w:t>
      </w:r>
      <w:r>
        <w:rPr>
          <w:rFonts w:ascii="Calibri" w:hAnsi="Calibri" w:eastAsia="Calibri" w:cs="Calibri"/>
          <w:b w:val="0"/>
          <w:bCs w:val="0"/>
          <w:color w:val="000000"/>
          <w:sz w:val="22"/>
          <w:szCs w:val="22"/>
        </w:rPr>
        <w:t xml:space="preserve">punto 11</w:t>
      </w:r>
      <w:r>
        <w:rPr>
          <w:rFonts w:ascii="Calibri" w:hAnsi="Calibri" w:eastAsia="Calibri" w:cs="Calibri"/>
          <w:b w:val="0"/>
          <w:bCs w:val="0"/>
          <w:color w:val="000000"/>
          <w:sz w:val="22"/>
          <w:szCs w:val="22"/>
        </w:rPr>
        <w:t xml:space="preserve">, respecto del cual no se ha recibido la información requerida desde </w:t>
      </w:r>
      <w:r>
        <w:rPr>
          <w:rFonts w:ascii="Calibri" w:hAnsi="Calibri" w:eastAsia="Calibri" w:cs="Calibri"/>
          <w:b w:val="0"/>
          <w:bCs w:val="0"/>
          <w:color w:val="000000"/>
          <w:sz w:val="22"/>
          <w:szCs w:val="22"/>
        </w:rPr>
        <w:t xml:space="preserve">diciembre de 2025 a la fecha</w:t>
      </w:r>
      <w:r>
        <w:rPr>
          <w:rFonts w:ascii="Calibri" w:hAnsi="Calibri" w:eastAsia="Calibri" w:cs="Calibri"/>
          <w:b w:val="0"/>
          <w:bCs w:val="0"/>
          <w:color w:val="000000"/>
          <w:sz w:val="22"/>
          <w:szCs w:val="22"/>
        </w:rPr>
        <w:t xml:space="preserve">, pese a las gestiones efectuadas.</w:t>
      </w:r>
      <w:r>
        <w:rPr>
          <w:rFonts w:ascii="Calibri" w:hAnsi="Calibri" w:cs="Calibri"/>
          <w:b w:val="0"/>
          <w:bCs w:val="0"/>
          <w:sz w:val="22"/>
          <w:szCs w:val="22"/>
        </w:rPr>
      </w:r>
    </w:p>
    <w:p w14:paraId="0F086060">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cs="Calibri"/>
          <w:b w:val="0"/>
          <w:bCs w:val="0"/>
          <w:sz w:val="22"/>
          <w:szCs w:val="22"/>
        </w:rPr>
      </w:r>
      <w:r>
        <w:rPr>
          <w:rFonts w:ascii="Calibri" w:hAnsi="Calibri" w:cs="Calibri"/>
          <w:b w:val="0"/>
          <w:bCs w:val="0"/>
          <w:sz w:val="22"/>
          <w:szCs w:val="22"/>
        </w:rPr>
      </w:r>
      <w:r>
        <w:rPr>
          <w:rFonts w:ascii="Calibri" w:hAnsi="Calibri" w:cs="Calibri"/>
          <w:b w:val="0"/>
          <w:bCs w:val="0"/>
          <w:sz w:val="22"/>
          <w:szCs w:val="22"/>
        </w:rPr>
      </w:r>
    </w:p>
    <w:p w14:paraId="04B9353B">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 Mejoras implementadas por ítem de Transparencia Activa</w:t>
      </w:r>
      <w:r>
        <w:rPr>
          <w:rFonts w:ascii="Calibri" w:hAnsi="Calibri" w:eastAsia="Calibri" w:cs="Calibri"/>
          <w:b/>
          <w:bCs/>
          <w:sz w:val="22"/>
          <w:szCs w:val="22"/>
        </w:rPr>
      </w:r>
    </w:p>
    <w:p w14:paraId="1BB2EF20">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A continuación, se detallan las principales mejoras y acciones correctivas implementadas en distintos numerales del portal:</w:t>
      </w:r>
      <w:r>
        <w:rPr>
          <w:rFonts w:ascii="Calibri" w:hAnsi="Calibri" w:eastAsia="Calibri" w:cs="Calibri"/>
          <w:b w:val="0"/>
          <w:bCs w:val="0"/>
          <w:sz w:val="22"/>
          <w:szCs w:val="22"/>
        </w:rPr>
      </w:r>
    </w:p>
    <w:p w14:paraId="0DDC6525">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4.1. Ítem 01: Actos y documentos publicados en el Diario Oficial</w:t>
      </w:r>
      <w:r>
        <w:rPr>
          <w:rFonts w:ascii="Calibri" w:hAnsi="Calibri" w:eastAsia="Calibri" w:cs="Calibri"/>
          <w:b/>
          <w:bCs/>
          <w:sz w:val="22"/>
          <w:szCs w:val="22"/>
        </w:rPr>
      </w:r>
    </w:p>
    <w:p w14:paraId="70824EC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Se efectuó la </w:t>
      </w:r>
      <w:r>
        <w:rPr>
          <w:rFonts w:ascii="Calibri" w:hAnsi="Calibri" w:eastAsia="Calibri" w:cs="Calibri"/>
          <w:b w:val="0"/>
          <w:bCs w:val="0"/>
          <w:color w:val="000000"/>
          <w:sz w:val="22"/>
          <w:szCs w:val="22"/>
        </w:rPr>
        <w:t xml:space="preserve">actualización del ítem</w:t>
      </w:r>
      <w:r>
        <w:rPr>
          <w:rFonts w:ascii="Calibri" w:hAnsi="Calibri" w:eastAsia="Calibri" w:cs="Calibri"/>
          <w:b w:val="0"/>
          <w:bCs w:val="0"/>
          <w:color w:val="000000"/>
          <w:sz w:val="22"/>
          <w:szCs w:val="22"/>
        </w:rPr>
        <w:t xml:space="preserve">, toda vez que mantenía publicaciones antiguas, incluso anteriores al año 2010, sin una estructura actualizada ni revisión reciente. En consecuencia, se procedió a regularizar y actualizar la información publicada en este apartado.</w:t>
      </w:r>
      <w:r>
        <w:rPr>
          <w:rFonts w:ascii="Calibri" w:hAnsi="Calibri" w:eastAsia="Calibri" w:cs="Calibri"/>
          <w:b w:val="0"/>
          <w:bCs w:val="0"/>
          <w:sz w:val="22"/>
          <w:szCs w:val="22"/>
        </w:rPr>
      </w:r>
    </w:p>
    <w:p w14:paraId="774D7514">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4.2. Ítem 02: Potestades y Marco Normativo</w:t>
      </w:r>
      <w:r>
        <w:rPr>
          <w:rFonts w:ascii="Calibri" w:hAnsi="Calibri" w:eastAsia="Calibri" w:cs="Calibri"/>
          <w:b/>
          <w:bCs/>
          <w:sz w:val="22"/>
          <w:szCs w:val="22"/>
        </w:rPr>
      </w:r>
    </w:p>
    <w:p w14:paraId="7CDB39F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Se revisó y reclasificó este apartado, modificando su estructura de publicación. En particular, el subítem </w:t>
      </w:r>
      <w:r>
        <w:rPr>
          <w:rFonts w:ascii="Calibri" w:hAnsi="Calibri" w:eastAsia="Calibri" w:cs="Calibri"/>
          <w:b w:val="0"/>
          <w:bCs w:val="0"/>
          <w:color w:val="000000"/>
          <w:sz w:val="22"/>
          <w:szCs w:val="22"/>
        </w:rPr>
        <w:t xml:space="preserve">Marco Normativo</w:t>
      </w:r>
      <w:r>
        <w:rPr>
          <w:rFonts w:ascii="Calibri" w:hAnsi="Calibri" w:eastAsia="Calibri" w:cs="Calibri"/>
          <w:b w:val="0"/>
          <w:bCs w:val="0"/>
          <w:color w:val="000000"/>
          <w:sz w:val="22"/>
          <w:szCs w:val="22"/>
        </w:rPr>
        <w:t xml:space="preserve"> dejó de presentarse únicamente en formato de planilla, pasando a diferenciarse por categorías, permitiendo una visualización más ordenada y comprensible de los contenidos, tales como:</w:t>
      </w:r>
      <w:r>
        <w:rPr>
          <w:rFonts w:ascii="Calibri" w:hAnsi="Calibri" w:eastAsia="Calibri" w:cs="Calibri"/>
          <w:b w:val="0"/>
          <w:bCs w:val="0"/>
          <w:sz w:val="22"/>
          <w:szCs w:val="22"/>
        </w:rPr>
      </w:r>
    </w:p>
    <w:p w14:paraId="1509423D">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Manuales y Protocolos Internos</w:t>
      </w:r>
      <w:r>
        <w:rPr>
          <w:rFonts w:ascii="Calibri" w:hAnsi="Calibri" w:eastAsia="Calibri" w:cs="Calibri"/>
          <w:b w:val="0"/>
          <w:bCs w:val="0"/>
          <w:sz w:val="22"/>
          <w:szCs w:val="22"/>
        </w:rPr>
      </w:r>
    </w:p>
    <w:p w14:paraId="31C4F7F0">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Reglamentos</w:t>
      </w:r>
      <w:r>
        <w:rPr>
          <w:rFonts w:ascii="Calibri" w:hAnsi="Calibri" w:eastAsia="Calibri" w:cs="Calibri"/>
          <w:b w:val="0"/>
          <w:bCs w:val="0"/>
          <w:sz w:val="22"/>
          <w:szCs w:val="22"/>
        </w:rPr>
      </w:r>
    </w:p>
    <w:p w14:paraId="5FF9A965">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Normas Orgánicas</w:t>
      </w:r>
      <w:r>
        <w:rPr>
          <w:rFonts w:ascii="Calibri" w:hAnsi="Calibri" w:eastAsia="Calibri" w:cs="Calibri"/>
          <w:b w:val="0"/>
          <w:bCs w:val="0"/>
          <w:sz w:val="22"/>
          <w:szCs w:val="22"/>
        </w:rPr>
      </w:r>
    </w:p>
    <w:p w14:paraId="21B90A9F">
      <w:pPr>
        <w:pStyle w:val="668"/>
        <w:numPr>
          <w:ilvl w:val="0"/>
          <w:numId w:val="2"/>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Otras normas que atribuyen competencias</w:t>
      </w:r>
      <w:r>
        <w:rPr>
          <w:rFonts w:ascii="Calibri" w:hAnsi="Calibri" w:eastAsia="Calibri" w:cs="Calibri"/>
          <w:b w:val="0"/>
          <w:bCs w:val="0"/>
          <w:sz w:val="22"/>
          <w:szCs w:val="22"/>
        </w:rPr>
      </w:r>
    </w:p>
    <w:p w14:paraId="59B52E4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Esta modificación permitió adecuar mejor la presentación de la información a los criterios de orden y acceso exigidos por el portal.</w:t>
      </w:r>
      <w:r>
        <w:rPr>
          <w:rFonts w:ascii="Calibri" w:hAnsi="Calibri" w:eastAsia="Calibri" w:cs="Calibri"/>
          <w:b w:val="0"/>
          <w:bCs w:val="0"/>
          <w:sz w:val="22"/>
          <w:szCs w:val="22"/>
        </w:rPr>
      </w:r>
    </w:p>
    <w:p w14:paraId="27F014BF">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4.3. Ítem 03: Estructura orgánica y facultades, funciones y atribuciones</w:t>
      </w:r>
      <w:r>
        <w:rPr>
          <w:rFonts w:ascii="Calibri" w:hAnsi="Calibri" w:eastAsia="Calibri" w:cs="Calibri"/>
          <w:b/>
          <w:bCs/>
          <w:sz w:val="22"/>
          <w:szCs w:val="22"/>
        </w:rPr>
      </w:r>
    </w:p>
    <w:p w14:paraId="44D0877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En este apartado se realizaron mejoras significativas. El subítem </w:t>
      </w:r>
      <w:r>
        <w:rPr>
          <w:rFonts w:ascii="Calibri" w:hAnsi="Calibri" w:eastAsia="Calibri" w:cs="Calibri"/>
          <w:b w:val="0"/>
          <w:bCs w:val="0"/>
          <w:color w:val="000000"/>
          <w:sz w:val="22"/>
          <w:szCs w:val="22"/>
        </w:rPr>
        <w:t xml:space="preserve">Organigrama</w:t>
      </w:r>
      <w:r>
        <w:rPr>
          <w:rFonts w:ascii="Calibri" w:hAnsi="Calibri" w:eastAsia="Calibri" w:cs="Calibri"/>
          <w:b w:val="0"/>
          <w:bCs w:val="0"/>
          <w:color w:val="000000"/>
          <w:sz w:val="22"/>
          <w:szCs w:val="22"/>
        </w:rPr>
        <w:t xml:space="preserve"> fue actualizado, pasando de una visualización estática a un formato </w:t>
      </w:r>
      <w:r>
        <w:rPr>
          <w:rFonts w:ascii="Calibri" w:hAnsi="Calibri" w:eastAsia="Calibri" w:cs="Calibri"/>
          <w:b w:val="0"/>
          <w:bCs w:val="0"/>
          <w:color w:val="000000"/>
          <w:sz w:val="22"/>
          <w:szCs w:val="22"/>
        </w:rPr>
        <w:t xml:space="preserve">interactivo</w:t>
      </w:r>
      <w:r>
        <w:rPr>
          <w:rFonts w:ascii="Calibri" w:hAnsi="Calibri" w:eastAsia="Calibri" w:cs="Calibri"/>
          <w:b w:val="0"/>
          <w:bCs w:val="0"/>
          <w:color w:val="000000"/>
          <w:sz w:val="22"/>
          <w:szCs w:val="22"/>
        </w:rPr>
        <w:t xml:space="preserve">, lo que facilita la navegación y comprensión de la estructura municipal.</w:t>
      </w:r>
      <w:r>
        <w:rPr>
          <w:rFonts w:ascii="Calibri" w:hAnsi="Calibri" w:eastAsia="Calibri" w:cs="Calibri"/>
          <w:b w:val="0"/>
          <w:bCs w:val="0"/>
          <w:sz w:val="22"/>
          <w:szCs w:val="22"/>
        </w:rPr>
      </w:r>
    </w:p>
    <w:p w14:paraId="3FF666B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Adicionalmente, se incorporó el subítem </w:t>
      </w:r>
      <w:r>
        <w:rPr>
          <w:rFonts w:ascii="Calibri" w:hAnsi="Calibri" w:eastAsia="Calibri" w:cs="Calibri"/>
          <w:b w:val="0"/>
          <w:bCs w:val="0"/>
          <w:color w:val="000000"/>
          <w:sz w:val="22"/>
          <w:szCs w:val="22"/>
        </w:rPr>
        <w:t xml:space="preserve">Estructura Orgánica de Transparencia</w:t>
      </w:r>
      <w:r>
        <w:rPr>
          <w:rFonts w:ascii="Calibri" w:hAnsi="Calibri" w:eastAsia="Calibri" w:cs="Calibri"/>
          <w:b w:val="0"/>
          <w:bCs w:val="0"/>
          <w:color w:val="000000"/>
          <w:sz w:val="22"/>
          <w:szCs w:val="22"/>
        </w:rPr>
        <w:t xml:space="preserve">, fortaleciendo la visibilidad y claridad respecto de la ubicación funcional de esta materia dentro de la organización institucional.</w:t>
      </w:r>
      <w:r>
        <w:rPr>
          <w:rFonts w:ascii="Calibri" w:hAnsi="Calibri" w:eastAsia="Calibri" w:cs="Calibri"/>
          <w:b w:val="0"/>
          <w:bCs w:val="0"/>
          <w:sz w:val="22"/>
          <w:szCs w:val="22"/>
        </w:rPr>
      </w:r>
    </w:p>
    <w:p w14:paraId="102F82D6">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4.4. Ítem 04: Personal y remuneraciones</w:t>
      </w:r>
      <w:r>
        <w:rPr>
          <w:rFonts w:ascii="Calibri" w:hAnsi="Calibri" w:eastAsia="Calibri" w:cs="Calibri"/>
          <w:b/>
          <w:bCs/>
          <w:sz w:val="22"/>
          <w:szCs w:val="22"/>
        </w:rPr>
      </w:r>
    </w:p>
    <w:p w14:paraId="16A0B07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Se efectuó una adecuación de este ítem conforme a los lineamientos de la </w:t>
      </w:r>
      <w:r>
        <w:rPr>
          <w:rFonts w:ascii="Calibri" w:hAnsi="Calibri" w:eastAsia="Calibri" w:cs="Calibri"/>
          <w:b w:val="0"/>
          <w:bCs w:val="0"/>
          <w:color w:val="000000"/>
          <w:sz w:val="22"/>
          <w:szCs w:val="22"/>
        </w:rPr>
        <w:t xml:space="preserve">Resolución N.º 500</w:t>
      </w:r>
      <w:r>
        <w:rPr>
          <w:rFonts w:ascii="Calibri" w:hAnsi="Calibri" w:eastAsia="Calibri" w:cs="Calibri"/>
          <w:b w:val="0"/>
          <w:bCs w:val="0"/>
          <w:color w:val="000000"/>
          <w:sz w:val="22"/>
          <w:szCs w:val="22"/>
        </w:rPr>
        <w:t xml:space="preserve">, modificando la forma de publicación y solicitando ajustes en la columna </w:t>
      </w:r>
      <w:r>
        <w:rPr>
          <w:rFonts w:ascii="Calibri" w:hAnsi="Calibri" w:eastAsia="Calibri" w:cs="Calibri"/>
          <w:b w:val="0"/>
          <w:bCs w:val="0"/>
          <w:color w:val="000000"/>
          <w:sz w:val="22"/>
          <w:szCs w:val="22"/>
        </w:rPr>
        <w:t xml:space="preserve">“cargos y funciones”</w:t>
      </w:r>
      <w:r>
        <w:rPr>
          <w:rFonts w:ascii="Calibri" w:hAnsi="Calibri" w:eastAsia="Calibri" w:cs="Calibri"/>
          <w:b w:val="0"/>
          <w:bCs w:val="0"/>
          <w:color w:val="000000"/>
          <w:sz w:val="22"/>
          <w:szCs w:val="22"/>
        </w:rPr>
        <w:t xml:space="preserve">, dado que se detectó el uso de denominaciones genéricas tales como “Docente”, “Administrativo” o “Auxiliar”, las cuales no cumplían adecuadamente con el estándar requerido de precisión descriptiva.</w:t>
      </w:r>
      <w:r>
        <w:rPr>
          <w:rFonts w:ascii="Calibri" w:hAnsi="Calibri" w:eastAsia="Calibri" w:cs="Calibri"/>
          <w:b w:val="0"/>
          <w:bCs w:val="0"/>
          <w:sz w:val="22"/>
          <w:szCs w:val="22"/>
        </w:rPr>
      </w:r>
    </w:p>
    <w:p w14:paraId="110A8B2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Asimismo:</w:t>
      </w:r>
      <w:r>
        <w:rPr>
          <w:rFonts w:ascii="Calibri" w:hAnsi="Calibri" w:eastAsia="Calibri" w:cs="Calibri"/>
          <w:b w:val="0"/>
          <w:bCs w:val="0"/>
          <w:sz w:val="22"/>
          <w:szCs w:val="22"/>
        </w:rPr>
      </w:r>
    </w:p>
    <w:p w14:paraId="69DBBBDC">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S</w:t>
      </w:r>
      <w:r>
        <w:rPr>
          <w:rFonts w:ascii="Calibri" w:hAnsi="Calibri" w:eastAsia="Calibri" w:cs="Calibri"/>
          <w:b w:val="0"/>
          <w:bCs w:val="0"/>
          <w:color w:val="000000"/>
          <w:sz w:val="22"/>
          <w:szCs w:val="22"/>
        </w:rPr>
        <w:t xml:space="preserve">e actualizó el subítem </w:t>
      </w:r>
      <w:r>
        <w:rPr>
          <w:rFonts w:ascii="Calibri" w:hAnsi="Calibri" w:eastAsia="Calibri" w:cs="Calibri"/>
          <w:b w:val="0"/>
          <w:bCs w:val="0"/>
          <w:color w:val="000000"/>
          <w:sz w:val="22"/>
          <w:szCs w:val="22"/>
        </w:rPr>
        <w:t xml:space="preserve">Escala de Remuneraciones</w:t>
      </w:r>
      <w:r>
        <w:rPr>
          <w:rFonts w:ascii="Calibri" w:hAnsi="Calibri" w:eastAsia="Calibri" w:cs="Calibri"/>
          <w:b w:val="0"/>
          <w:bCs w:val="0"/>
          <w:color w:val="000000"/>
          <w:sz w:val="22"/>
          <w:szCs w:val="22"/>
        </w:rPr>
        <w:t xml:space="preserve"> hasta el año 2026; </w:t>
      </w:r>
      <w:r>
        <w:rPr>
          <w:rFonts w:ascii="Calibri" w:hAnsi="Calibri" w:eastAsia="Calibri" w:cs="Calibri"/>
          <w:b w:val="0"/>
          <w:bCs w:val="0"/>
          <w:sz w:val="22"/>
          <w:szCs w:val="22"/>
        </w:rPr>
      </w:r>
    </w:p>
    <w:p w14:paraId="43B2B3CD">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lang w:val="es-CL"/>
        </w:rPr>
        <w:t xml:space="preserve"> S</w:t>
      </w:r>
      <w:r>
        <w:rPr>
          <w:rFonts w:ascii="Calibri" w:hAnsi="Calibri" w:eastAsia="Calibri" w:cs="Calibri"/>
          <w:b w:val="0"/>
          <w:bCs w:val="0"/>
          <w:color w:val="000000"/>
          <w:sz w:val="22"/>
          <w:szCs w:val="22"/>
        </w:rPr>
        <w:t xml:space="preserve">e incorporó el subítem </w:t>
      </w:r>
      <w:r>
        <w:rPr>
          <w:rFonts w:ascii="Calibri" w:hAnsi="Calibri" w:eastAsia="Calibri" w:cs="Calibri"/>
          <w:b w:val="0"/>
          <w:bCs w:val="0"/>
          <w:color w:val="000000"/>
          <w:sz w:val="22"/>
          <w:szCs w:val="22"/>
        </w:rPr>
        <w:t xml:space="preserve">Información estadística sobre bonificaciones</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552B6893">
      <w:pPr>
        <w:pStyle w:val="668"/>
        <w:numPr>
          <w:ilvl w:val="0"/>
          <w:numId w:val="3"/>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S</w:t>
      </w:r>
      <w:r>
        <w:rPr>
          <w:rFonts w:ascii="Calibri" w:hAnsi="Calibri" w:eastAsia="Calibri" w:cs="Calibri"/>
          <w:b w:val="0"/>
          <w:bCs w:val="0"/>
          <w:color w:val="000000"/>
          <w:sz w:val="22"/>
          <w:szCs w:val="22"/>
        </w:rPr>
        <w:t xml:space="preserve">e incorporó el subítem </w:t>
      </w:r>
      <w:r>
        <w:rPr>
          <w:rFonts w:ascii="Calibri" w:hAnsi="Calibri" w:eastAsia="Calibri" w:cs="Calibri"/>
          <w:b w:val="0"/>
          <w:bCs w:val="0"/>
          <w:color w:val="000000"/>
          <w:sz w:val="22"/>
          <w:szCs w:val="22"/>
        </w:rPr>
        <w:t xml:space="preserve">Autoridades de elección popular u otra forma de designación</w:t>
      </w:r>
      <w:r>
        <w:rPr>
          <w:rFonts w:ascii="Calibri" w:hAnsi="Calibri" w:eastAsia="Calibri" w:cs="Calibri"/>
          <w:b w:val="0"/>
          <w:bCs w:val="0"/>
          <w:color w:val="000000"/>
          <w:sz w:val="22"/>
          <w:szCs w:val="22"/>
        </w:rPr>
        <w:t xml:space="preserve">, destinado a la publicación de dietas de autoridades, particularmente concejales. </w:t>
      </w:r>
      <w:r>
        <w:rPr>
          <w:rFonts w:ascii="Calibri" w:hAnsi="Calibri" w:eastAsia="Calibri" w:cs="Calibri"/>
          <w:b w:val="0"/>
          <w:bCs w:val="0"/>
          <w:sz w:val="22"/>
          <w:szCs w:val="22"/>
        </w:rPr>
      </w:r>
    </w:p>
    <w:p w14:paraId="429E2AA8">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4.5. Ítem 05: Adquisiciones y contrataciones</w:t>
      </w:r>
      <w:r>
        <w:rPr>
          <w:rFonts w:ascii="Calibri" w:hAnsi="Calibri" w:eastAsia="Calibri" w:cs="Calibri"/>
          <w:b/>
          <w:bCs/>
          <w:sz w:val="22"/>
          <w:szCs w:val="22"/>
        </w:rPr>
      </w:r>
    </w:p>
    <w:p w14:paraId="72DCC5CA">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Se realizaron gestiones con la unidad de Adquisiciones, solicitando la búsqueda, levantamiento y remisión de antecedentes para la regularización del ítem. Del mismo modo, se instruyó la necesidad de informar este apartado de manera </w:t>
      </w:r>
      <w:r>
        <w:rPr>
          <w:rFonts w:ascii="Calibri" w:hAnsi="Calibri" w:eastAsia="Calibri" w:cs="Calibri"/>
          <w:b w:val="0"/>
          <w:bCs w:val="0"/>
          <w:color w:val="000000"/>
          <w:sz w:val="22"/>
          <w:szCs w:val="22"/>
        </w:rPr>
        <w:t xml:space="preserve">mensual</w:t>
      </w:r>
      <w:r>
        <w:rPr>
          <w:rFonts w:ascii="Calibri" w:hAnsi="Calibri" w:eastAsia="Calibri" w:cs="Calibri"/>
          <w:b w:val="0"/>
          <w:bCs w:val="0"/>
          <w:color w:val="000000"/>
          <w:sz w:val="22"/>
          <w:szCs w:val="22"/>
          <w:lang w:val="es-CL"/>
        </w:rPr>
        <w:t xml:space="preserve">.</w:t>
      </w:r>
      <w:r>
        <w:rPr>
          <w:rFonts w:ascii="Calibri" w:hAnsi="Calibri" w:eastAsia="Calibri" w:cs="Calibri"/>
          <w:b w:val="0"/>
          <w:bCs w:val="0"/>
          <w:color w:val="000000"/>
          <w:sz w:val="22"/>
          <w:szCs w:val="22"/>
        </w:rPr>
      </w:r>
      <w:r>
        <w:rPr>
          <w:rFonts w:ascii="Calibri" w:hAnsi="Calibri" w:eastAsia="Calibri" w:cs="Calibri"/>
          <w:b w:val="0"/>
          <w:bCs w:val="0"/>
          <w:sz w:val="22"/>
          <w:szCs w:val="22"/>
        </w:rPr>
      </w:r>
    </w:p>
    <w:p w14:paraId="7B0A869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Adicionalmente, se incorporó el subítem </w:t>
      </w:r>
      <w:r>
        <w:rPr>
          <w:rFonts w:ascii="Calibri" w:hAnsi="Calibri" w:eastAsia="Calibri" w:cs="Calibri"/>
          <w:b w:val="0"/>
          <w:bCs w:val="0"/>
          <w:color w:val="000000"/>
          <w:sz w:val="22"/>
          <w:szCs w:val="22"/>
          <w:lang w:val="es-CL"/>
        </w:rPr>
        <w:t xml:space="preserve">“</w:t>
      </w:r>
      <w:r>
        <w:rPr>
          <w:rFonts w:ascii="Calibri" w:hAnsi="Calibri" w:eastAsia="Calibri" w:cs="Calibri"/>
          <w:b w:val="0"/>
          <w:bCs w:val="0"/>
          <w:color w:val="000000"/>
          <w:sz w:val="22"/>
          <w:szCs w:val="22"/>
        </w:rPr>
        <w:t xml:space="preserve">Actas de evaluación de comisiones evaluadoras de licitaciones y compras públicas</w:t>
      </w:r>
      <w:r>
        <w:rPr>
          <w:rFonts w:ascii="Calibri" w:hAnsi="Calibri" w:eastAsia="Calibri" w:cs="Calibri"/>
          <w:b w:val="0"/>
          <w:bCs w:val="0"/>
          <w:color w:val="000000"/>
          <w:sz w:val="22"/>
          <w:szCs w:val="22"/>
          <w:lang w:val="es-CL"/>
        </w:rPr>
        <w:t xml:space="preserve">”</w:t>
      </w:r>
      <w:r>
        <w:rPr>
          <w:rFonts w:ascii="Calibri" w:hAnsi="Calibri" w:eastAsia="Calibri" w:cs="Calibri"/>
          <w:b w:val="0"/>
          <w:bCs w:val="0"/>
          <w:color w:val="000000"/>
          <w:sz w:val="22"/>
          <w:szCs w:val="22"/>
        </w:rPr>
        <w:t xml:space="preserve">, fortaleciendo el nivel de publicidad activa en esta materia.</w:t>
      </w:r>
      <w:r>
        <w:rPr>
          <w:rFonts w:ascii="Calibri" w:hAnsi="Calibri" w:eastAsia="Calibri" w:cs="Calibri"/>
          <w:b w:val="0"/>
          <w:bCs w:val="0"/>
          <w:sz w:val="22"/>
          <w:szCs w:val="22"/>
        </w:rPr>
      </w:r>
    </w:p>
    <w:p w14:paraId="7D3600E9">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4.6. Ítem 06: Transferencias de fondos y aportes económicos entregados</w:t>
      </w:r>
      <w:r>
        <w:rPr>
          <w:rFonts w:ascii="Calibri" w:hAnsi="Calibri" w:eastAsia="Calibri" w:cs="Calibri"/>
          <w:b/>
          <w:bCs/>
          <w:sz w:val="22"/>
          <w:szCs w:val="22"/>
        </w:rPr>
      </w:r>
    </w:p>
    <w:p w14:paraId="3C86247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Se corrigió un enlace que redirigía erróneamente a una página con error, reemplazándolo por el vínculo correcto que dirige a la información correspondiente a las transferencias efectuadas por la Municipalidad de Victoria.</w:t>
      </w:r>
      <w:r>
        <w:rPr>
          <w:rFonts w:ascii="Calibri" w:hAnsi="Calibri" w:eastAsia="Calibri" w:cs="Calibri"/>
          <w:b w:val="0"/>
          <w:bCs w:val="0"/>
          <w:sz w:val="22"/>
          <w:szCs w:val="22"/>
        </w:rPr>
      </w:r>
    </w:p>
    <w:p w14:paraId="74463C6B">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bCs/>
          <w:sz w:val="22"/>
          <w:szCs w:val="22"/>
        </w:rPr>
      </w:pPr>
      <w:r>
        <w:rPr>
          <w:rFonts w:ascii="Calibri" w:hAnsi="Calibri" w:eastAsia="Calibri" w:cs="Calibri"/>
          <w:b/>
          <w:bCs/>
          <w:color w:val="000000"/>
          <w:sz w:val="22"/>
          <w:szCs w:val="22"/>
        </w:rPr>
        <w:t xml:space="preserve">4.7. Ítem 07: Actos y resoluciones con efectos sobre terceras personas</w:t>
      </w:r>
      <w:r>
        <w:rPr>
          <w:rFonts w:ascii="Calibri" w:hAnsi="Calibri" w:eastAsia="Calibri" w:cs="Calibri"/>
          <w:b/>
          <w:bCs/>
          <w:sz w:val="22"/>
          <w:szCs w:val="22"/>
        </w:rPr>
      </w:r>
    </w:p>
    <w:p w14:paraId="5CDC3A28">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En este apartado se detectaron enlaces rotos y ausencia de documentación en determinados períodos o submaterias, por lo que se inició un proceso de búsqueda y recuperación de antecedentes, incluyendo revisión de documentación en bodega, con el fin de reinc</w:t>
      </w:r>
      <w:r>
        <w:rPr>
          <w:rFonts w:ascii="Calibri" w:hAnsi="Calibri" w:eastAsia="Calibri" w:cs="Calibri"/>
          <w:b w:val="0"/>
          <w:bCs w:val="0"/>
          <w:color w:val="000000"/>
          <w:sz w:val="22"/>
          <w:szCs w:val="22"/>
        </w:rPr>
        <w:t xml:space="preserve">orporar información faltante.</w:t>
      </w:r>
      <w:r>
        <w:rPr>
          <w:rFonts w:ascii="Calibri" w:hAnsi="Calibri" w:eastAsia="Calibri" w:cs="Calibri"/>
          <w:b w:val="0"/>
          <w:bCs w:val="0"/>
          <w:sz w:val="22"/>
          <w:szCs w:val="22"/>
        </w:rPr>
      </w:r>
    </w:p>
    <w:p w14:paraId="0A5B254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Este proceso se encuentra en desarrollo y, si bien presenta avances, </w:t>
      </w:r>
      <w:r>
        <w:rPr>
          <w:rFonts w:ascii="Calibri" w:hAnsi="Calibri" w:eastAsia="Calibri" w:cs="Calibri"/>
          <w:b w:val="0"/>
          <w:bCs w:val="0"/>
          <w:color w:val="000000"/>
          <w:sz w:val="22"/>
          <w:szCs w:val="22"/>
        </w:rPr>
        <w:t xml:space="preserve">aún no se encuentra finalizado en un 100%</w:t>
      </w:r>
      <w:r>
        <w:rPr>
          <w:rFonts w:ascii="Calibri" w:hAnsi="Calibri" w:eastAsia="Calibri" w:cs="Calibri"/>
          <w:b w:val="0"/>
          <w:bCs w:val="0"/>
          <w:color w:val="000000"/>
          <w:sz w:val="22"/>
          <w:szCs w:val="22"/>
        </w:rPr>
        <w:t xml:space="preserve">.</w:t>
      </w:r>
      <w:r>
        <w:rPr>
          <w:rFonts w:ascii="Calibri" w:hAnsi="Calibri" w:eastAsia="Calibri" w:cs="Calibri"/>
          <w:b w:val="0"/>
          <w:bCs w:val="0"/>
          <w:sz w:val="22"/>
          <w:szCs w:val="22"/>
        </w:rPr>
      </w:r>
    </w:p>
    <w:p w14:paraId="1DA0EA96">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4.8. Ítem 09: Subsidios y beneficios</w:t>
      </w:r>
      <w:r>
        <w:rPr>
          <w:rFonts w:ascii="Calibri" w:hAnsi="Calibri" w:eastAsia="Calibri" w:cs="Calibri"/>
          <w:sz w:val="22"/>
          <w:szCs w:val="22"/>
        </w:rPr>
      </w:r>
    </w:p>
    <w:p w14:paraId="7599F2C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En este punto se desarrolló un trabajo coordinado con la Dirección de Desarrollo Comunitario (DIDECO), orientado a mejorar la estructura y contenido de la información publicada.</w:t>
      </w:r>
      <w:r>
        <w:rPr>
          <w:rFonts w:ascii="Calibri" w:hAnsi="Calibri" w:eastAsia="Calibri" w:cs="Calibri"/>
          <w:sz w:val="22"/>
          <w:szCs w:val="22"/>
        </w:rPr>
      </w:r>
    </w:p>
    <w:p w14:paraId="2907668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Como resultado de dicho trabajo:</w:t>
      </w:r>
      <w:r>
        <w:rPr>
          <w:rFonts w:ascii="Calibri" w:hAnsi="Calibri" w:eastAsia="Calibri" w:cs="Calibri"/>
          <w:sz w:val="22"/>
          <w:szCs w:val="22"/>
        </w:rPr>
      </w:r>
    </w:p>
    <w:p w14:paraId="5BBD6A0E">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 </w:t>
      </w:r>
      <w:r>
        <w:rPr>
          <w:rFonts w:ascii="Calibri" w:hAnsi="Calibri" w:eastAsia="Calibri" w:cs="Calibri"/>
          <w:color w:val="000000"/>
          <w:sz w:val="22"/>
          <w:szCs w:val="22"/>
          <w:lang w:val="es-CL"/>
        </w:rPr>
        <w:t xml:space="preserve">S</w:t>
      </w:r>
      <w:r>
        <w:rPr>
          <w:rFonts w:ascii="Calibri" w:hAnsi="Calibri" w:eastAsia="Calibri" w:cs="Calibri"/>
          <w:color w:val="000000"/>
          <w:sz w:val="22"/>
          <w:szCs w:val="22"/>
        </w:rPr>
        <w:t xml:space="preserve">e efectuaron mejoras en el subítem </w:t>
      </w:r>
      <w:r>
        <w:rPr>
          <w:rFonts w:ascii="Calibri" w:hAnsi="Calibri" w:eastAsia="Calibri" w:cs="Calibri"/>
          <w:b/>
          <w:color w:val="000000"/>
          <w:sz w:val="22"/>
          <w:szCs w:val="22"/>
        </w:rPr>
        <w:t xml:space="preserve">“Subsidios y Beneficios Propios”</w:t>
      </w:r>
      <w:r>
        <w:rPr>
          <w:rFonts w:ascii="Calibri" w:hAnsi="Calibri" w:eastAsia="Calibri" w:cs="Calibri"/>
          <w:color w:val="000000"/>
          <w:sz w:val="22"/>
          <w:szCs w:val="22"/>
          <w:lang w:val="es-CL"/>
        </w:rPr>
        <w:t xml:space="preserve">.</w:t>
      </w:r>
      <w:r>
        <w:rPr>
          <w:rFonts w:ascii="Calibri" w:hAnsi="Calibri" w:eastAsia="Calibri" w:cs="Calibri"/>
          <w:color w:val="000000"/>
          <w:sz w:val="22"/>
          <w:szCs w:val="22"/>
        </w:rPr>
        <w:t xml:space="preserve"> </w:t>
      </w:r>
      <w:r>
        <w:rPr>
          <w:rFonts w:ascii="Calibri" w:hAnsi="Calibri" w:eastAsia="Calibri" w:cs="Calibri"/>
          <w:sz w:val="22"/>
          <w:szCs w:val="22"/>
        </w:rPr>
      </w:r>
    </w:p>
    <w:p w14:paraId="727B3317">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 </w:t>
      </w:r>
      <w:r>
        <w:rPr>
          <w:rFonts w:ascii="Calibri" w:hAnsi="Calibri" w:eastAsia="Calibri" w:cs="Calibri"/>
          <w:color w:val="000000"/>
          <w:sz w:val="22"/>
          <w:szCs w:val="22"/>
          <w:lang w:val="es-CL"/>
        </w:rPr>
        <w:t xml:space="preserve">S</w:t>
      </w:r>
      <w:r>
        <w:rPr>
          <w:rFonts w:ascii="Calibri" w:hAnsi="Calibri" w:eastAsia="Calibri" w:cs="Calibri"/>
          <w:color w:val="000000"/>
          <w:sz w:val="22"/>
          <w:szCs w:val="22"/>
        </w:rPr>
        <w:t xml:space="preserve">e incorporó el subítem </w:t>
      </w:r>
      <w:r>
        <w:rPr>
          <w:rFonts w:ascii="Calibri" w:hAnsi="Calibri" w:eastAsia="Calibri" w:cs="Calibri"/>
          <w:b/>
          <w:color w:val="000000"/>
          <w:sz w:val="22"/>
          <w:szCs w:val="22"/>
        </w:rPr>
        <w:t xml:space="preserve">“Subsidios y Beneficios como Intermediario”</w:t>
      </w:r>
      <w:r>
        <w:rPr>
          <w:rFonts w:ascii="Calibri" w:hAnsi="Calibri" w:eastAsia="Calibri" w:cs="Calibri"/>
          <w:color w:val="000000"/>
          <w:sz w:val="22"/>
          <w:szCs w:val="22"/>
          <w:lang w:val="es-CL"/>
        </w:rPr>
        <w:t xml:space="preserve">.</w:t>
      </w:r>
      <w:r>
        <w:rPr>
          <w:rFonts w:ascii="Calibri" w:hAnsi="Calibri" w:eastAsia="Calibri" w:cs="Calibri"/>
          <w:sz w:val="22"/>
          <w:szCs w:val="22"/>
        </w:rPr>
      </w:r>
    </w:p>
    <w:p w14:paraId="1A7D8E10">
      <w:pPr>
        <w:pStyle w:val="668"/>
        <w:numPr>
          <w:ilvl w:val="0"/>
          <w:numId w:val="4"/>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 </w:t>
      </w:r>
      <w:r>
        <w:rPr>
          <w:rFonts w:ascii="Calibri" w:hAnsi="Calibri" w:eastAsia="Calibri" w:cs="Calibri"/>
          <w:color w:val="000000"/>
          <w:sz w:val="22"/>
          <w:szCs w:val="22"/>
          <w:lang w:val="es-CL"/>
        </w:rPr>
        <w:t xml:space="preserve">S</w:t>
      </w:r>
      <w:r>
        <w:rPr>
          <w:rFonts w:ascii="Calibri" w:hAnsi="Calibri" w:eastAsia="Calibri" w:cs="Calibri"/>
          <w:color w:val="000000"/>
          <w:sz w:val="22"/>
          <w:szCs w:val="22"/>
        </w:rPr>
        <w:t xml:space="preserve">e mejoró la publicación del subítem </w:t>
      </w:r>
      <w:r>
        <w:rPr>
          <w:rFonts w:ascii="Calibri" w:hAnsi="Calibri" w:eastAsia="Calibri" w:cs="Calibri"/>
          <w:b/>
          <w:color w:val="000000"/>
          <w:sz w:val="22"/>
          <w:szCs w:val="22"/>
        </w:rPr>
        <w:t xml:space="preserve">“Nómina de Beneficiarios”</w:t>
      </w:r>
      <w:r>
        <w:rPr>
          <w:rFonts w:ascii="Calibri" w:hAnsi="Calibri" w:eastAsia="Calibri" w:cs="Calibri"/>
          <w:color w:val="000000"/>
          <w:sz w:val="22"/>
          <w:szCs w:val="22"/>
        </w:rPr>
        <w:t xml:space="preserve">. </w:t>
      </w:r>
      <w:r>
        <w:rPr>
          <w:rFonts w:ascii="Calibri" w:hAnsi="Calibri" w:eastAsia="Calibri" w:cs="Calibri"/>
          <w:sz w:val="22"/>
          <w:szCs w:val="22"/>
        </w:rPr>
      </w:r>
    </w:p>
    <w:p w14:paraId="2174D5C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color w:val="000000"/>
          <w:sz w:val="22"/>
          <w:szCs w:val="22"/>
          <w:highlight w:val="none"/>
        </w:rPr>
      </w:pPr>
      <w:r>
        <w:rPr>
          <w:rFonts w:ascii="Calibri" w:hAnsi="Calibri" w:eastAsia="Calibri" w:cs="Calibri"/>
          <w:color w:val="000000"/>
          <w:sz w:val="22"/>
          <w:szCs w:val="22"/>
        </w:rPr>
        <w:t xml:space="preserve">Estas acciones permitieron fortalecer la completitud y claridad de la información disponible en esta materia, adecuando su presentación a los requerimientos del portal de Transparencia Activa.</w:t>
      </w:r>
      <w:r>
        <w:rPr>
          <w:rFonts w:ascii="Calibri" w:hAnsi="Calibri" w:cs="Calibri"/>
          <w:sz w:val="22"/>
          <w:szCs w:val="22"/>
        </w:rPr>
      </w:r>
    </w:p>
    <w:p w14:paraId="31EB74D1">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14:paraId="60181EF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cs="Calibri"/>
          <w:sz w:val="22"/>
          <w:szCs w:val="22"/>
        </w:rPr>
      </w:r>
      <w:r>
        <w:rPr>
          <w:rFonts w:ascii="Calibri" w:hAnsi="Calibri" w:cs="Calibri"/>
          <w:sz w:val="22"/>
          <w:szCs w:val="22"/>
        </w:rPr>
      </w:r>
      <w:r>
        <w:rPr>
          <w:rFonts w:ascii="Calibri" w:hAnsi="Calibri" w:cs="Calibri"/>
          <w:sz w:val="22"/>
          <w:szCs w:val="22"/>
        </w:rPr>
      </w:r>
    </w:p>
    <w:p w14:paraId="72790172">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cs="Calibri"/>
          <w:sz w:val="22"/>
          <w:szCs w:val="22"/>
        </w:rPr>
      </w:r>
      <w:r>
        <w:rPr>
          <w:rFonts w:ascii="Calibri" w:hAnsi="Calibri" w:cs="Calibri"/>
          <w:sz w:val="22"/>
          <w:szCs w:val="22"/>
        </w:rPr>
      </w:r>
    </w:p>
    <w:p w14:paraId="60E8C2F1">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4.9. Ítem 10: Mecanismos de participación ciudadana</w:t>
      </w:r>
      <w:r>
        <w:rPr>
          <w:rFonts w:ascii="Calibri" w:hAnsi="Calibri" w:eastAsia="Calibri" w:cs="Calibri"/>
          <w:sz w:val="22"/>
          <w:szCs w:val="22"/>
        </w:rPr>
      </w:r>
    </w:p>
    <w:p w14:paraId="72B890C0">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En este apartado se incorporaron mensajes informativos en el subítem </w:t>
      </w:r>
      <w:r>
        <w:rPr>
          <w:rFonts w:ascii="Calibri" w:hAnsi="Calibri" w:eastAsia="Calibri" w:cs="Calibri"/>
          <w:b w:val="0"/>
          <w:bCs w:val="0"/>
          <w:color w:val="000000"/>
          <w:sz w:val="22"/>
          <w:szCs w:val="22"/>
        </w:rPr>
        <w:t xml:space="preserve">“Mecanismos de participación ciudadana en ejecución”</w:t>
      </w:r>
      <w:r>
        <w:rPr>
          <w:rFonts w:ascii="Calibri" w:hAnsi="Calibri" w:eastAsia="Calibri" w:cs="Calibri"/>
          <w:b w:val="0"/>
          <w:bCs w:val="0"/>
          <w:color w:val="000000"/>
          <w:sz w:val="22"/>
          <w:szCs w:val="22"/>
        </w:rPr>
        <w:t xml:space="preserve">, dejando expresamente señalado cuando la Municipalidad no cuenta con mecanismos de participación ciudadana en desarrollo o ejecución en el período informado.</w:t>
      </w:r>
      <w:r>
        <w:rPr>
          <w:rFonts w:ascii="Calibri" w:hAnsi="Calibri" w:eastAsia="Calibri" w:cs="Calibri"/>
          <w:b w:val="0"/>
          <w:bCs w:val="0"/>
          <w:sz w:val="22"/>
          <w:szCs w:val="22"/>
        </w:rPr>
      </w:r>
    </w:p>
    <w:p w14:paraId="2BBC7B73">
      <w:pPr>
        <w:pBdr>
          <w:top w:val="none" w:color="000000" w:sz="4" w:space="0"/>
          <w:left w:val="none" w:color="000000" w:sz="4" w:space="0"/>
          <w:bottom w:val="none" w:color="000000" w:sz="4" w:space="0"/>
          <w:right w:val="none" w:color="000000" w:sz="4" w:space="0"/>
        </w:pBdr>
        <w:spacing/>
        <w:ind w:right="0" w:firstLine="0" w:left="0"/>
        <w:jc w:val="both"/>
        <w:rPr>
          <w:b w:val="0"/>
          <w:bCs w:val="0"/>
        </w:rPr>
      </w:pPr>
      <w:r>
        <w:rPr>
          <w:rFonts w:ascii="Calibri" w:hAnsi="Calibri" w:eastAsia="Calibri" w:cs="Calibri"/>
          <w:b w:val="0"/>
          <w:bCs w:val="0"/>
          <w:color w:val="000000"/>
          <w:sz w:val="22"/>
          <w:szCs w:val="22"/>
        </w:rPr>
        <w:t xml:space="preserve">Esta medida tuvo por objeto evitar vacíos de información o interpretaciones erróneas derivadas de la ausencia de contenido publicado, mejorando así la claridad y consistencia del portal</w:t>
      </w:r>
      <w:r>
        <w:rPr>
          <w:rFonts w:ascii="Times New Roman" w:hAnsi="Times New Roman" w:eastAsia="Times New Roman" w:cs="Times New Roman"/>
          <w:b w:val="0"/>
          <w:bCs w:val="0"/>
          <w:color w:val="000000"/>
          <w:sz w:val="24"/>
        </w:rPr>
        <w:t xml:space="preserve">.</w:t>
      </w:r>
      <w:r>
        <w:rPr>
          <w:b w:val="0"/>
          <w:bCs w:val="0"/>
        </w:rPr>
      </w:r>
    </w:p>
    <w:p w14:paraId="09C117B0">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4.10. Ítem 11: Información Presupuestaria</w:t>
      </w:r>
      <w:r>
        <w:rPr>
          <w:rFonts w:ascii="Calibri" w:hAnsi="Calibri" w:eastAsia="Calibri" w:cs="Calibri"/>
          <w:sz w:val="22"/>
          <w:szCs w:val="22"/>
        </w:rPr>
      </w:r>
    </w:p>
    <w:p w14:paraId="13B53CF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Respecto de este ítem, se realizó una reestructuración importante de la información publicada, incorporándose múltiples subítems que no se encontraban debidamente diferenciados en la modalidad anterior de publicación.</w:t>
      </w:r>
      <w:r>
        <w:rPr>
          <w:rFonts w:ascii="Calibri" w:hAnsi="Calibri" w:eastAsia="Calibri" w:cs="Calibri"/>
          <w:sz w:val="22"/>
          <w:szCs w:val="22"/>
        </w:rPr>
      </w:r>
    </w:p>
    <w:p w14:paraId="3176C35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En la estructura anterior, este apartado se presentaba de manera más acotada bajo la denominación </w:t>
      </w:r>
      <w:r>
        <w:rPr>
          <w:rFonts w:ascii="Calibri" w:hAnsi="Calibri" w:eastAsia="Calibri" w:cs="Calibri"/>
          <w:b w:val="0"/>
          <w:bCs w:val="0"/>
          <w:color w:val="000000"/>
          <w:sz w:val="22"/>
          <w:szCs w:val="22"/>
        </w:rPr>
        <w:t xml:space="preserve">“Presupuesto asignado y su ejecución”</w:t>
      </w:r>
      <w:r>
        <w:rPr>
          <w:rFonts w:ascii="Calibri" w:hAnsi="Calibri" w:eastAsia="Calibri" w:cs="Calibri"/>
          <w:color w:val="000000"/>
          <w:sz w:val="22"/>
          <w:szCs w:val="22"/>
        </w:rPr>
        <w:t xml:space="preserve">, contemplando solo algunos componentes. En cambio, en la estructura actual se incorporó una organización más detallada, incluyendo, entre otros, los siguientes subítems:</w:t>
      </w:r>
      <w:r>
        <w:rPr>
          <w:rFonts w:ascii="Calibri" w:hAnsi="Calibri" w:eastAsia="Calibri" w:cs="Calibri"/>
          <w:sz w:val="22"/>
          <w:szCs w:val="22"/>
        </w:rPr>
      </w:r>
    </w:p>
    <w:p w14:paraId="33AE2122">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Informe fondos transitorios Royalty a la Minería – Ley de Presupuestos 2024</w:t>
      </w:r>
      <w:r>
        <w:rPr>
          <w:rFonts w:ascii="Calibri" w:hAnsi="Calibri" w:eastAsia="Calibri" w:cs="Calibri"/>
          <w:sz w:val="22"/>
          <w:szCs w:val="22"/>
        </w:rPr>
      </w:r>
    </w:p>
    <w:p w14:paraId="4B587234">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Gastos de Avisaje y publicidad</w:t>
      </w:r>
      <w:r>
        <w:rPr>
          <w:rFonts w:ascii="Calibri" w:hAnsi="Calibri" w:eastAsia="Calibri" w:cs="Calibri"/>
          <w:sz w:val="22"/>
          <w:szCs w:val="22"/>
        </w:rPr>
      </w:r>
    </w:p>
    <w:p w14:paraId="1AA57F66">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Gastos de Avisaje y publicidad – desglose de gastos</w:t>
      </w:r>
      <w:r>
        <w:rPr>
          <w:rFonts w:ascii="Calibri" w:hAnsi="Calibri" w:eastAsia="Calibri" w:cs="Calibri"/>
          <w:sz w:val="22"/>
          <w:szCs w:val="22"/>
        </w:rPr>
      </w:r>
    </w:p>
    <w:p w14:paraId="39A78AD0">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Gastos de Representación, Protocolo y Ceremonial</w:t>
      </w:r>
      <w:r>
        <w:rPr>
          <w:rFonts w:ascii="Calibri" w:hAnsi="Calibri" w:eastAsia="Calibri" w:cs="Calibri"/>
          <w:sz w:val="22"/>
          <w:szCs w:val="22"/>
        </w:rPr>
      </w:r>
    </w:p>
    <w:p w14:paraId="335EAD20">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Presupuestos asignados y modificaciones</w:t>
      </w:r>
      <w:r>
        <w:rPr>
          <w:rFonts w:ascii="Calibri" w:hAnsi="Calibri" w:eastAsia="Calibri" w:cs="Calibri"/>
          <w:sz w:val="22"/>
          <w:szCs w:val="22"/>
        </w:rPr>
      </w:r>
    </w:p>
    <w:p w14:paraId="3023F975">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Balance de Ejecución Presupuestaria</w:t>
      </w:r>
      <w:r>
        <w:rPr>
          <w:rFonts w:ascii="Calibri" w:hAnsi="Calibri" w:eastAsia="Calibri" w:cs="Calibri"/>
          <w:sz w:val="22"/>
          <w:szCs w:val="22"/>
        </w:rPr>
      </w:r>
    </w:p>
    <w:p w14:paraId="743789EE">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Estado de situación financiera</w:t>
      </w:r>
      <w:r>
        <w:rPr>
          <w:rFonts w:ascii="Calibri" w:hAnsi="Calibri" w:eastAsia="Calibri" w:cs="Calibri"/>
          <w:sz w:val="22"/>
          <w:szCs w:val="22"/>
        </w:rPr>
      </w:r>
    </w:p>
    <w:p w14:paraId="720A4F6C">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Pasivos del municipio y de las corporaciones municipales</w:t>
      </w:r>
      <w:r>
        <w:rPr>
          <w:rFonts w:ascii="Calibri" w:hAnsi="Calibri" w:eastAsia="Calibri" w:cs="Calibri"/>
          <w:sz w:val="22"/>
          <w:szCs w:val="22"/>
        </w:rPr>
      </w:r>
    </w:p>
    <w:p w14:paraId="4D23E596">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Ejecución Presupuestaria</w:t>
      </w:r>
      <w:r>
        <w:rPr>
          <w:rFonts w:ascii="Calibri" w:hAnsi="Calibri" w:eastAsia="Calibri" w:cs="Calibri"/>
          <w:sz w:val="22"/>
          <w:szCs w:val="22"/>
        </w:rPr>
      </w:r>
    </w:p>
    <w:p w14:paraId="01A0637D">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Balance de comprobación y de saldos agregado</w:t>
      </w:r>
      <w:r>
        <w:rPr>
          <w:rFonts w:ascii="Calibri" w:hAnsi="Calibri" w:eastAsia="Calibri" w:cs="Calibri"/>
          <w:sz w:val="22"/>
          <w:szCs w:val="22"/>
        </w:rPr>
      </w:r>
    </w:p>
    <w:p w14:paraId="67D57856">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Balance de comprobación y de saldos desagregado</w:t>
      </w:r>
      <w:r>
        <w:rPr>
          <w:rFonts w:ascii="Calibri" w:hAnsi="Calibri" w:eastAsia="Calibri" w:cs="Calibri"/>
          <w:sz w:val="22"/>
          <w:szCs w:val="22"/>
        </w:rPr>
      </w:r>
    </w:p>
    <w:p w14:paraId="06D50BC1">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Informe analítico de variaciones de la ejecución presupuestaria</w:t>
      </w:r>
      <w:r>
        <w:rPr>
          <w:rFonts w:ascii="Calibri" w:hAnsi="Calibri" w:eastAsia="Calibri" w:cs="Calibri"/>
          <w:sz w:val="22"/>
          <w:szCs w:val="22"/>
        </w:rPr>
      </w:r>
    </w:p>
    <w:p w14:paraId="13DD9CE5">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Informe analítico de variaciones de la deuda</w:t>
      </w:r>
      <w:r>
        <w:rPr>
          <w:rFonts w:ascii="Calibri" w:hAnsi="Calibri" w:eastAsia="Calibri" w:cs="Calibri"/>
          <w:sz w:val="22"/>
          <w:szCs w:val="22"/>
        </w:rPr>
      </w:r>
    </w:p>
    <w:p w14:paraId="1C153B12">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Informe analítico de variaciones de la ejecución presupuestaria de iniciativas de inversión</w:t>
      </w:r>
      <w:r>
        <w:rPr>
          <w:rFonts w:ascii="Calibri" w:hAnsi="Calibri" w:eastAsia="Calibri" w:cs="Calibri"/>
          <w:sz w:val="22"/>
          <w:szCs w:val="22"/>
        </w:rPr>
      </w:r>
    </w:p>
    <w:p w14:paraId="18F8B32E">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Calibri" w:hAnsi="Calibri" w:cs="Calibri"/>
          <w:sz w:val="22"/>
          <w:szCs w:val="22"/>
        </w:rPr>
      </w:pPr>
      <w:r>
        <w:rPr>
          <w:rFonts w:ascii="Calibri" w:hAnsi="Calibri" w:eastAsia="Calibri" w:cs="Calibri"/>
          <w:color w:val="000000"/>
          <w:sz w:val="22"/>
          <w:szCs w:val="22"/>
        </w:rPr>
        <w:t xml:space="preserve">Libro diario municipal</w:t>
      </w:r>
      <w:r>
        <w:rPr>
          <w:rFonts w:ascii="Calibri" w:hAnsi="Calibri" w:eastAsia="Calibri" w:cs="Calibri"/>
          <w:sz w:val="22"/>
          <w:szCs w:val="22"/>
        </w:rPr>
      </w:r>
    </w:p>
    <w:p w14:paraId="5621FAA5">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Dentro de este proceso, se informa que actualmente se encuentran actualizados los siguientes subítems:</w:t>
      </w:r>
      <w:r>
        <w:rPr>
          <w:rFonts w:ascii="Calibri" w:hAnsi="Calibri" w:eastAsia="Calibri" w:cs="Calibri"/>
          <w:sz w:val="22"/>
          <w:szCs w:val="22"/>
        </w:rPr>
      </w:r>
    </w:p>
    <w:p w14:paraId="28CF86CC">
      <w:pPr>
        <w:pStyle w:val="668"/>
        <w:numPr>
          <w:ilvl w:val="0"/>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Gastos de Avisaje y publicidad</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6D076945">
      <w:pPr>
        <w:pStyle w:val="668"/>
        <w:numPr>
          <w:ilvl w:val="0"/>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Gastos de Avisaje y publicidad – desglose de gastos</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29BA3847">
      <w:pPr>
        <w:pStyle w:val="668"/>
        <w:numPr>
          <w:ilvl w:val="0"/>
          <w:numId w:val="6"/>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Gastos de Representación, Protocolo y Ceremonial</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1AF03DB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Asimismo, se registran los siguientes niveles de avance parcial en otros subítems:</w:t>
      </w:r>
      <w:r>
        <w:rPr>
          <w:rFonts w:ascii="Calibri" w:hAnsi="Calibri" w:eastAsia="Calibri" w:cs="Calibri"/>
          <w:sz w:val="22"/>
          <w:szCs w:val="22"/>
        </w:rPr>
      </w:r>
    </w:p>
    <w:p w14:paraId="3B497910">
      <w:pPr>
        <w:pStyle w:val="668"/>
        <w:numPr>
          <w:ilvl w:val="0"/>
          <w:numId w:val="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E</w:t>
      </w:r>
      <w:r>
        <w:rPr>
          <w:rFonts w:ascii="Calibri" w:hAnsi="Calibri" w:eastAsia="Calibri" w:cs="Calibri"/>
          <w:b w:val="0"/>
          <w:bCs w:val="0"/>
          <w:color w:val="000000"/>
          <w:sz w:val="22"/>
          <w:szCs w:val="22"/>
        </w:rPr>
        <w:t xml:space="preserve">l subítem </w:t>
      </w:r>
      <w:r>
        <w:rPr>
          <w:rFonts w:ascii="Calibri" w:hAnsi="Calibri" w:eastAsia="Calibri" w:cs="Calibri"/>
          <w:b w:val="0"/>
          <w:bCs w:val="0"/>
          <w:color w:val="000000"/>
          <w:sz w:val="22"/>
          <w:szCs w:val="22"/>
        </w:rPr>
        <w:t xml:space="preserve">“Balance de Ejecución Presupuestaria”</w:t>
      </w:r>
      <w:r>
        <w:rPr>
          <w:rFonts w:ascii="Calibri" w:hAnsi="Calibri" w:eastAsia="Calibri" w:cs="Calibri"/>
          <w:b w:val="0"/>
          <w:bCs w:val="0"/>
          <w:color w:val="000000"/>
          <w:sz w:val="22"/>
          <w:szCs w:val="22"/>
        </w:rPr>
        <w:t xml:space="preserve"> se encuentra actualizado solo respecto de las áreas de </w:t>
      </w:r>
      <w:r>
        <w:rPr>
          <w:rFonts w:ascii="Calibri" w:hAnsi="Calibri" w:eastAsia="Calibri" w:cs="Calibri"/>
          <w:b w:val="0"/>
          <w:bCs w:val="0"/>
          <w:color w:val="000000"/>
          <w:sz w:val="22"/>
          <w:szCs w:val="22"/>
        </w:rPr>
        <w:t xml:space="preserve">Educación y Salud</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7A0513AE">
      <w:pPr>
        <w:pStyle w:val="668"/>
        <w:numPr>
          <w:ilvl w:val="0"/>
          <w:numId w:val="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E</w:t>
      </w:r>
      <w:r>
        <w:rPr>
          <w:rFonts w:ascii="Calibri" w:hAnsi="Calibri" w:eastAsia="Calibri" w:cs="Calibri"/>
          <w:b w:val="0"/>
          <w:bCs w:val="0"/>
          <w:color w:val="000000"/>
          <w:sz w:val="22"/>
          <w:szCs w:val="22"/>
        </w:rPr>
        <w:t xml:space="preserve">l subítem </w:t>
      </w:r>
      <w:r>
        <w:rPr>
          <w:rFonts w:ascii="Calibri" w:hAnsi="Calibri" w:eastAsia="Calibri" w:cs="Calibri"/>
          <w:b w:val="0"/>
          <w:bCs w:val="0"/>
          <w:color w:val="000000"/>
          <w:sz w:val="22"/>
          <w:szCs w:val="22"/>
        </w:rPr>
        <w:t xml:space="preserve">“Estado de situación financiera”</w:t>
      </w:r>
      <w:r>
        <w:rPr>
          <w:rFonts w:ascii="Calibri" w:hAnsi="Calibri" w:eastAsia="Calibri" w:cs="Calibri"/>
          <w:b w:val="0"/>
          <w:bCs w:val="0"/>
          <w:color w:val="000000"/>
          <w:sz w:val="22"/>
          <w:szCs w:val="22"/>
        </w:rPr>
        <w:t xml:space="preserve"> se encuentra actualizado solo respecto de las áreas de </w:t>
      </w:r>
      <w:r>
        <w:rPr>
          <w:rFonts w:ascii="Calibri" w:hAnsi="Calibri" w:eastAsia="Calibri" w:cs="Calibri"/>
          <w:b w:val="0"/>
          <w:bCs w:val="0"/>
          <w:color w:val="000000"/>
          <w:sz w:val="22"/>
          <w:szCs w:val="22"/>
        </w:rPr>
        <w:t xml:space="preserve">Educación y Salud</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1B6914EE">
      <w:pPr>
        <w:pStyle w:val="668"/>
        <w:numPr>
          <w:ilvl w:val="0"/>
          <w:numId w:val="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E</w:t>
      </w:r>
      <w:r>
        <w:rPr>
          <w:rFonts w:ascii="Calibri" w:hAnsi="Calibri" w:eastAsia="Calibri" w:cs="Calibri"/>
          <w:b w:val="0"/>
          <w:bCs w:val="0"/>
          <w:color w:val="000000"/>
          <w:sz w:val="22"/>
          <w:szCs w:val="22"/>
        </w:rPr>
        <w:t xml:space="preserve">l subítem </w:t>
      </w:r>
      <w:r>
        <w:rPr>
          <w:rFonts w:ascii="Calibri" w:hAnsi="Calibri" w:eastAsia="Calibri" w:cs="Calibri"/>
          <w:b w:val="0"/>
          <w:bCs w:val="0"/>
          <w:color w:val="000000"/>
          <w:sz w:val="22"/>
          <w:szCs w:val="22"/>
        </w:rPr>
        <w:t xml:space="preserve">“Pasivos del municipio y de las corporaciones municipales”</w:t>
      </w:r>
      <w:r>
        <w:rPr>
          <w:rFonts w:ascii="Calibri" w:hAnsi="Calibri" w:eastAsia="Calibri" w:cs="Calibri"/>
          <w:b w:val="0"/>
          <w:bCs w:val="0"/>
          <w:color w:val="000000"/>
          <w:sz w:val="22"/>
          <w:szCs w:val="22"/>
        </w:rPr>
        <w:t xml:space="preserve"> se encuentra actualizado hasta </w:t>
      </w:r>
      <w:r>
        <w:rPr>
          <w:rFonts w:ascii="Calibri" w:hAnsi="Calibri" w:eastAsia="Calibri" w:cs="Calibri"/>
          <w:b w:val="0"/>
          <w:bCs w:val="0"/>
          <w:color w:val="000000"/>
          <w:sz w:val="22"/>
          <w:szCs w:val="22"/>
        </w:rPr>
        <w:t xml:space="preserve">marzo de 2026</w:t>
      </w:r>
      <w:r>
        <w:rPr>
          <w:rFonts w:ascii="Calibri" w:hAnsi="Calibri" w:eastAsia="Calibri" w:cs="Calibri"/>
          <w:b w:val="0"/>
          <w:bCs w:val="0"/>
          <w:color w:val="000000"/>
          <w:sz w:val="22"/>
          <w:szCs w:val="22"/>
        </w:rPr>
        <w:t xml:space="preserve"> en las áreas de </w:t>
      </w:r>
      <w:r>
        <w:rPr>
          <w:rFonts w:ascii="Calibri" w:hAnsi="Calibri" w:eastAsia="Calibri" w:cs="Calibri"/>
          <w:b w:val="0"/>
          <w:bCs w:val="0"/>
          <w:color w:val="000000"/>
          <w:sz w:val="22"/>
          <w:szCs w:val="22"/>
        </w:rPr>
        <w:t xml:space="preserve">Educación y Salud</w:t>
      </w:r>
      <w:r>
        <w:rPr>
          <w:rFonts w:ascii="Calibri" w:hAnsi="Calibri" w:eastAsia="Calibri" w:cs="Calibri"/>
          <w:b w:val="0"/>
          <w:bCs w:val="0"/>
          <w:color w:val="000000"/>
          <w:sz w:val="22"/>
          <w:szCs w:val="22"/>
        </w:rPr>
        <w:t xml:space="preserve">, y hasta </w:t>
      </w:r>
      <w:r>
        <w:rPr>
          <w:rFonts w:ascii="Calibri" w:hAnsi="Calibri" w:eastAsia="Calibri" w:cs="Calibri"/>
          <w:b w:val="0"/>
          <w:bCs w:val="0"/>
          <w:color w:val="000000"/>
          <w:sz w:val="22"/>
          <w:szCs w:val="22"/>
        </w:rPr>
        <w:t xml:space="preserve">diciembre de 2025</w:t>
      </w:r>
      <w:r>
        <w:rPr>
          <w:rFonts w:ascii="Calibri" w:hAnsi="Calibri" w:eastAsia="Calibri" w:cs="Calibri"/>
          <w:b w:val="0"/>
          <w:bCs w:val="0"/>
          <w:color w:val="000000"/>
          <w:sz w:val="22"/>
          <w:szCs w:val="22"/>
        </w:rPr>
        <w:t xml:space="preserve"> respecto de </w:t>
      </w:r>
      <w:r>
        <w:rPr>
          <w:rFonts w:ascii="Calibri" w:hAnsi="Calibri" w:eastAsia="Calibri" w:cs="Calibri"/>
          <w:b w:val="0"/>
          <w:bCs w:val="0"/>
          <w:color w:val="000000"/>
          <w:sz w:val="22"/>
          <w:szCs w:val="22"/>
        </w:rPr>
        <w:t xml:space="preserve">Municipalidad y Cementerio</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p>
    <w:p w14:paraId="66416C0E">
      <w:pPr>
        <w:pStyle w:val="668"/>
        <w:numPr>
          <w:ilvl w:val="0"/>
          <w:numId w:val="7"/>
        </w:numPr>
        <w:pBdr>
          <w:top w:val="none" w:color="000000" w:sz="4" w:space="0"/>
          <w:left w:val="none" w:color="000000" w:sz="4" w:space="0"/>
          <w:bottom w:val="none" w:color="000000" w:sz="4" w:space="0"/>
          <w:right w:val="none" w:color="000000" w:sz="4" w:space="0"/>
        </w:pBdr>
        <w:spacing/>
        <w:ind w:righ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lang w:val="es-CL"/>
        </w:rPr>
        <w:t xml:space="preserve">D</w:t>
      </w:r>
      <w:r>
        <w:rPr>
          <w:rFonts w:ascii="Calibri" w:hAnsi="Calibri" w:eastAsia="Calibri" w:cs="Calibri"/>
          <w:b w:val="0"/>
          <w:bCs w:val="0"/>
          <w:color w:val="000000"/>
          <w:sz w:val="22"/>
          <w:szCs w:val="22"/>
        </w:rPr>
        <w:t xml:space="preserve">entro del subítem </w:t>
      </w:r>
      <w:r>
        <w:rPr>
          <w:rFonts w:ascii="Calibri" w:hAnsi="Calibri" w:eastAsia="Calibri" w:cs="Calibri"/>
          <w:b w:val="0"/>
          <w:bCs w:val="0"/>
          <w:color w:val="000000"/>
          <w:sz w:val="22"/>
          <w:szCs w:val="22"/>
        </w:rPr>
        <w:t xml:space="preserve">“Ejecución Presupuestaria”</w:t>
      </w:r>
      <w:r>
        <w:rPr>
          <w:rFonts w:ascii="Calibri" w:hAnsi="Calibri" w:eastAsia="Calibri" w:cs="Calibri"/>
          <w:b w:val="0"/>
          <w:bCs w:val="0"/>
          <w:color w:val="000000"/>
          <w:sz w:val="22"/>
          <w:szCs w:val="22"/>
        </w:rPr>
        <w:t xml:space="preserve">, el apartado </w:t>
      </w:r>
      <w:r>
        <w:rPr>
          <w:rFonts w:ascii="Calibri" w:hAnsi="Calibri" w:eastAsia="Calibri" w:cs="Calibri"/>
          <w:b w:val="0"/>
          <w:bCs w:val="0"/>
          <w:color w:val="000000"/>
          <w:sz w:val="22"/>
          <w:szCs w:val="22"/>
        </w:rPr>
        <w:t xml:space="preserve">“Balance de Ejecución Presupuestaria Trimestral”</w:t>
      </w:r>
      <w:r>
        <w:rPr>
          <w:rFonts w:ascii="Calibri" w:hAnsi="Calibri" w:eastAsia="Calibri" w:cs="Calibri"/>
          <w:b w:val="0"/>
          <w:bCs w:val="0"/>
          <w:color w:val="000000"/>
          <w:sz w:val="22"/>
          <w:szCs w:val="22"/>
        </w:rPr>
        <w:t xml:space="preserve"> se encuentra actualizado para las áreas de </w:t>
      </w:r>
      <w:r>
        <w:rPr>
          <w:rFonts w:ascii="Calibri" w:hAnsi="Calibri" w:eastAsia="Calibri" w:cs="Calibri"/>
          <w:b w:val="0"/>
          <w:bCs w:val="0"/>
          <w:color w:val="000000"/>
          <w:sz w:val="22"/>
          <w:szCs w:val="22"/>
        </w:rPr>
        <w:t xml:space="preserve">Salud y Educación</w:t>
      </w:r>
      <w:r>
        <w:rPr>
          <w:rFonts w:ascii="Calibri" w:hAnsi="Calibri" w:eastAsia="Calibri" w:cs="Calibri"/>
          <w:b w:val="0"/>
          <w:bCs w:val="0"/>
          <w:color w:val="000000"/>
          <w:sz w:val="22"/>
          <w:szCs w:val="22"/>
        </w:rPr>
        <w:t xml:space="preserve">; </w:t>
      </w:r>
      <w:r>
        <w:rPr>
          <w:rFonts w:ascii="Calibri" w:hAnsi="Calibri" w:eastAsia="Calibri" w:cs="Calibri"/>
          <w:b w:val="0"/>
          <w:bCs w:val="0"/>
          <w:color w:val="000000"/>
          <w:sz w:val="22"/>
          <w:szCs w:val="22"/>
        </w:rPr>
        <w:t xml:space="preserve"> asimismo, dentro del mismo subítem, el apartado </w:t>
      </w:r>
      <w:r>
        <w:rPr>
          <w:rFonts w:ascii="Calibri" w:hAnsi="Calibri" w:eastAsia="Calibri" w:cs="Calibri"/>
          <w:b w:val="0"/>
          <w:bCs w:val="0"/>
          <w:color w:val="000000"/>
          <w:sz w:val="22"/>
          <w:szCs w:val="22"/>
        </w:rPr>
        <w:t xml:space="preserve">“Registro Mensual de Gastos”</w:t>
      </w:r>
      <w:r>
        <w:rPr>
          <w:rFonts w:ascii="Calibri" w:hAnsi="Calibri" w:eastAsia="Calibri" w:cs="Calibri"/>
          <w:b w:val="0"/>
          <w:bCs w:val="0"/>
          <w:color w:val="000000"/>
          <w:sz w:val="22"/>
          <w:szCs w:val="22"/>
        </w:rPr>
        <w:t xml:space="preserve"> se encuentra actualizado para las áreas de </w:t>
      </w:r>
      <w:r>
        <w:rPr>
          <w:rFonts w:ascii="Calibri" w:hAnsi="Calibri" w:eastAsia="Calibri" w:cs="Calibri"/>
          <w:b w:val="0"/>
          <w:bCs w:val="0"/>
          <w:color w:val="000000"/>
          <w:sz w:val="22"/>
          <w:szCs w:val="22"/>
        </w:rPr>
        <w:t xml:space="preserve">Salud y Educación</w:t>
      </w:r>
      <w:r>
        <w:rPr>
          <w:rFonts w:ascii="Calibri" w:hAnsi="Calibri" w:eastAsia="Calibri" w:cs="Calibri"/>
          <w:b w:val="0"/>
          <w:bCs w:val="0"/>
          <w:color w:val="000000"/>
          <w:sz w:val="22"/>
          <w:szCs w:val="22"/>
        </w:rPr>
        <w:t xml:space="preserve">. </w:t>
      </w:r>
      <w:r>
        <w:rPr>
          <w:rFonts w:ascii="Calibri" w:hAnsi="Calibri" w:eastAsia="Calibri" w:cs="Calibri"/>
          <w:b w:val="0"/>
          <w:bCs w:val="0"/>
          <w:sz w:val="22"/>
          <w:szCs w:val="22"/>
        </w:rPr>
      </w:r>
      <w:r>
        <w:rPr>
          <w:rFonts w:ascii="Calibri" w:hAnsi="Calibri" w:cs="Calibri"/>
          <w:b w:val="0"/>
          <w:bCs w:val="0"/>
          <w:sz w:val="22"/>
          <w:szCs w:val="22"/>
        </w:rPr>
      </w:r>
    </w:p>
    <w:p w14:paraId="2752E81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Por otra parte, el resto de los subítems incorporados en este numeral fueron alimentados, a lo menos, con información correspondiente al período comprendido entre </w:t>
      </w:r>
      <w:r>
        <w:rPr>
          <w:rFonts w:ascii="Calibri" w:hAnsi="Calibri" w:eastAsia="Calibri" w:cs="Calibri"/>
          <w:b w:val="0"/>
          <w:bCs w:val="0"/>
          <w:color w:val="000000"/>
          <w:sz w:val="22"/>
          <w:szCs w:val="22"/>
        </w:rPr>
        <w:t xml:space="preserve">enero y octubre de 2025</w:t>
      </w:r>
      <w:r>
        <w:rPr>
          <w:rFonts w:ascii="Calibri" w:hAnsi="Calibri" w:eastAsia="Calibri" w:cs="Calibri"/>
          <w:b w:val="0"/>
          <w:bCs w:val="0"/>
          <w:color w:val="000000"/>
          <w:sz w:val="22"/>
          <w:szCs w:val="22"/>
        </w:rPr>
        <w:t xml:space="preserve">.</w:t>
      </w:r>
      <w:r>
        <w:rPr>
          <w:rFonts w:ascii="Calibri" w:hAnsi="Calibri" w:eastAsia="Calibri" w:cs="Calibri"/>
          <w:b w:val="0"/>
          <w:bCs w:val="0"/>
          <w:sz w:val="22"/>
          <w:szCs w:val="22"/>
        </w:rPr>
      </w:r>
    </w:p>
    <w:p w14:paraId="4F46854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No obstante los avances descritos, se deja constancia de que persisten brechas de actualización en este punto, debido a que la información financiera completa y necesaria para mantener estos subítems al día </w:t>
      </w:r>
      <w:r>
        <w:rPr>
          <w:rFonts w:ascii="Calibri" w:hAnsi="Calibri" w:eastAsia="Calibri" w:cs="Calibri"/>
          <w:b w:val="0"/>
          <w:bCs w:val="0"/>
          <w:color w:val="000000"/>
          <w:sz w:val="22"/>
          <w:szCs w:val="22"/>
        </w:rPr>
        <w:t xml:space="preserve">no ha sido remitida íntegramente por la unidad competente</w:t>
      </w:r>
      <w:r>
        <w:rPr>
          <w:rFonts w:ascii="Calibri" w:hAnsi="Calibri" w:eastAsia="Calibri" w:cs="Calibri"/>
          <w:b w:val="0"/>
          <w:bCs w:val="0"/>
          <w:color w:val="000000"/>
          <w:sz w:val="22"/>
          <w:szCs w:val="22"/>
        </w:rPr>
        <w:t xml:space="preserve">, pese a haberse reiterado el requerimiento en distintas oportunidades.</w:t>
      </w:r>
      <w:r>
        <w:rPr>
          <w:rFonts w:ascii="Calibri" w:hAnsi="Calibri" w:eastAsia="Calibri" w:cs="Calibri"/>
          <w:b w:val="0"/>
          <w:bCs w:val="0"/>
          <w:sz w:val="22"/>
          <w:szCs w:val="22"/>
        </w:rPr>
      </w:r>
    </w:p>
    <w:p w14:paraId="1A1A1AE4">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eastAsia="Calibri" w:cs="Calibri"/>
          <w:b w:val="0"/>
          <w:bCs w:val="0"/>
          <w:color w:val="000000"/>
          <w:sz w:val="22"/>
          <w:szCs w:val="22"/>
          <w:highlight w:val="none"/>
        </w:rPr>
      </w:pPr>
      <w:r>
        <w:rPr>
          <w:rFonts w:ascii="Calibri" w:hAnsi="Calibri" w:eastAsia="Calibri" w:cs="Calibri"/>
          <w:b w:val="0"/>
          <w:bCs w:val="0"/>
          <w:color w:val="000000"/>
          <w:sz w:val="22"/>
          <w:szCs w:val="22"/>
        </w:rPr>
        <w:t xml:space="preserve">En particular, se ha insistido ante </w:t>
      </w:r>
      <w:r>
        <w:rPr>
          <w:rFonts w:ascii="Calibri" w:hAnsi="Calibri" w:eastAsia="Calibri" w:cs="Calibri"/>
          <w:b w:val="0"/>
          <w:bCs w:val="0"/>
          <w:color w:val="000000"/>
          <w:sz w:val="22"/>
          <w:szCs w:val="22"/>
          <w:lang w:val="es-CL"/>
        </w:rPr>
        <w:t xml:space="preserve">el Departamento de Administración </w:t>
      </w:r>
      <w:r>
        <w:rPr>
          <w:rFonts w:ascii="Calibri" w:hAnsi="Calibri" w:eastAsia="Calibri" w:cs="Calibri"/>
          <w:b w:val="0"/>
          <w:bCs w:val="0"/>
          <w:color w:val="000000"/>
          <w:sz w:val="22"/>
          <w:szCs w:val="22"/>
          <w:lang w:val="es-CL"/>
        </w:rPr>
        <w:t xml:space="preserve"> y </w:t>
      </w:r>
      <w:r>
        <w:rPr>
          <w:rFonts w:ascii="Calibri" w:hAnsi="Calibri" w:eastAsia="Calibri" w:cs="Calibri"/>
          <w:b w:val="0"/>
          <w:bCs w:val="0"/>
          <w:color w:val="000000"/>
          <w:sz w:val="22"/>
          <w:szCs w:val="22"/>
        </w:rPr>
        <w:t xml:space="preserve">Finanzas sobre la necesidad de remitir los informes pendientes, sin que a la fecha se haya recepcionado la totalidad de los antecedentes necesarios para completar la actualización integral del ítem 11.</w:t>
      </w:r>
      <w:r>
        <w:rPr>
          <w:rFonts w:ascii="Calibri" w:hAnsi="Calibri" w:cs="Calibri"/>
          <w:b w:val="0"/>
          <w:bCs w:val="0"/>
          <w:sz w:val="22"/>
          <w:szCs w:val="22"/>
        </w:rPr>
      </w:r>
      <w:r>
        <w:rPr>
          <w:rFonts w:ascii="Calibri" w:hAnsi="Calibri" w:cs="Calibri"/>
          <w:b w:val="0"/>
          <w:bCs w:val="0"/>
          <w:sz w:val="22"/>
          <w:szCs w:val="22"/>
        </w:rPr>
      </w:r>
      <w:r>
        <w:rPr>
          <w:rFonts w:ascii="Calibri" w:hAnsi="Calibri" w:cs="Calibri"/>
          <w:b w:val="0"/>
          <w:bCs w:val="0"/>
          <w:sz w:val="22"/>
          <w:szCs w:val="22"/>
        </w:rPr>
      </w:r>
      <w:r>
        <w:rPr>
          <w:rFonts w:ascii="Calibri" w:hAnsi="Calibri" w:cs="Calibri"/>
          <w:b w:val="0"/>
          <w:bCs w:val="0"/>
          <w:sz w:val="22"/>
          <w:szCs w:val="22"/>
        </w:rPr>
      </w:r>
      <w:r>
        <w:rPr>
          <w:rFonts w:ascii="Calibri" w:hAnsi="Calibri" w:eastAsia="Calibri" w:cs="Calibri"/>
          <w:b w:val="0"/>
          <w:bCs w:val="0"/>
          <w:color w:val="000000"/>
          <w:sz w:val="22"/>
          <w:szCs w:val="22"/>
          <w:highlight w:val="none"/>
        </w:rPr>
      </w:r>
    </w:p>
    <w:p w14:paraId="6F6FB6FE">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4.11. Ítem 13: Participación en otras entidades</w:t>
      </w:r>
      <w:r>
        <w:rPr>
          <w:rFonts w:ascii="Calibri" w:hAnsi="Calibri" w:eastAsia="Calibri" w:cs="Calibri"/>
          <w:sz w:val="22"/>
          <w:szCs w:val="22"/>
        </w:rPr>
      </w:r>
    </w:p>
    <w:p w14:paraId="79E6E1FA">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En este apartado se realizaron ajustes en la forma de publicación del subítem </w:t>
      </w:r>
      <w:r>
        <w:rPr>
          <w:rFonts w:ascii="Calibri" w:hAnsi="Calibri" w:eastAsia="Calibri" w:cs="Calibri"/>
          <w:b w:val="0"/>
          <w:bCs w:val="0"/>
          <w:color w:val="000000"/>
          <w:sz w:val="22"/>
          <w:szCs w:val="22"/>
        </w:rPr>
        <w:t xml:space="preserve">“Entidades en que tenga participación o representación el organismo”</w:t>
      </w:r>
      <w:r>
        <w:rPr>
          <w:rFonts w:ascii="Calibri" w:hAnsi="Calibri" w:eastAsia="Calibri" w:cs="Calibri"/>
          <w:b w:val="0"/>
          <w:bCs w:val="0"/>
          <w:color w:val="000000"/>
          <w:sz w:val="22"/>
          <w:szCs w:val="22"/>
        </w:rPr>
        <w:t xml:space="preserve">.</w:t>
      </w:r>
      <w:r>
        <w:rPr>
          <w:rFonts w:ascii="Calibri" w:hAnsi="Calibri" w:eastAsia="Calibri" w:cs="Calibri"/>
          <w:b w:val="0"/>
          <w:bCs w:val="0"/>
          <w:sz w:val="22"/>
          <w:szCs w:val="22"/>
        </w:rPr>
      </w:r>
    </w:p>
    <w:p w14:paraId="1DD44D16">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Específicamente, se eliminó el enlace externo que se utilizaba previamente para acceder a la información, reemplazándolo por una </w:t>
      </w:r>
      <w:r>
        <w:rPr>
          <w:rFonts w:ascii="Calibri" w:hAnsi="Calibri" w:eastAsia="Calibri" w:cs="Calibri"/>
          <w:b w:val="0"/>
          <w:bCs w:val="0"/>
          <w:color w:val="000000"/>
          <w:sz w:val="22"/>
          <w:szCs w:val="22"/>
        </w:rPr>
        <w:t xml:space="preserve">planilla de publicación directa en el portal</w:t>
      </w:r>
      <w:r>
        <w:rPr>
          <w:rFonts w:ascii="Calibri" w:hAnsi="Calibri" w:eastAsia="Calibri" w:cs="Calibri"/>
          <w:b w:val="0"/>
          <w:bCs w:val="0"/>
          <w:color w:val="000000"/>
          <w:sz w:val="22"/>
          <w:szCs w:val="22"/>
        </w:rPr>
        <w:t xml:space="preserve">, con el objeto de mejorar la disponibilidad, trazabilidad y acceso permanente a los antecedentes informados.</w:t>
      </w:r>
      <w:r>
        <w:rPr>
          <w:rFonts w:ascii="Calibri" w:hAnsi="Calibri" w:eastAsia="Calibri" w:cs="Calibri"/>
          <w:b w:val="0"/>
          <w:bCs w:val="0"/>
          <w:sz w:val="22"/>
          <w:szCs w:val="22"/>
        </w:rPr>
      </w:r>
    </w:p>
    <w:p w14:paraId="36CD1D76">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4.12. Ítem 17: Informe Anual a la SUBDERE</w:t>
      </w:r>
      <w:r>
        <w:rPr>
          <w:rFonts w:ascii="Calibri" w:hAnsi="Calibri" w:eastAsia="Calibri" w:cs="Calibri"/>
          <w:sz w:val="22"/>
          <w:szCs w:val="22"/>
        </w:rPr>
      </w:r>
    </w:p>
    <w:p w14:paraId="22496109">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Respecto de esta materia, se efectuó coordinación con la unidad de </w:t>
      </w:r>
      <w:r>
        <w:rPr>
          <w:rFonts w:ascii="Calibri" w:hAnsi="Calibri" w:eastAsia="Calibri" w:cs="Calibri"/>
          <w:b w:val="0"/>
          <w:bCs w:val="0"/>
          <w:color w:val="000000"/>
          <w:sz w:val="22"/>
          <w:szCs w:val="22"/>
        </w:rPr>
        <w:t xml:space="preserve">Remuneraciones</w:t>
      </w:r>
      <w:r>
        <w:rPr>
          <w:rFonts w:ascii="Calibri" w:hAnsi="Calibri" w:eastAsia="Calibri" w:cs="Calibri"/>
          <w:b w:val="0"/>
          <w:bCs w:val="0"/>
          <w:color w:val="000000"/>
          <w:sz w:val="22"/>
          <w:szCs w:val="22"/>
        </w:rPr>
        <w:t xml:space="preserve"> para efectos de actualizar la información correspondiente al </w:t>
      </w:r>
      <w:r>
        <w:rPr>
          <w:rFonts w:ascii="Calibri" w:hAnsi="Calibri" w:eastAsia="Calibri" w:cs="Calibri"/>
          <w:b w:val="0"/>
          <w:bCs w:val="0"/>
          <w:color w:val="000000"/>
          <w:sz w:val="22"/>
          <w:szCs w:val="22"/>
        </w:rPr>
        <w:t xml:space="preserve">Informe Anual a la SUBDERE</w:t>
      </w:r>
      <w:r>
        <w:rPr>
          <w:rFonts w:ascii="Calibri" w:hAnsi="Calibri" w:eastAsia="Calibri" w:cs="Calibri"/>
          <w:b w:val="0"/>
          <w:bCs w:val="0"/>
          <w:color w:val="000000"/>
          <w:sz w:val="22"/>
          <w:szCs w:val="22"/>
        </w:rPr>
        <w:t xml:space="preserve">.</w:t>
      </w:r>
      <w:r>
        <w:rPr>
          <w:rFonts w:ascii="Calibri" w:hAnsi="Calibri" w:eastAsia="Calibri" w:cs="Calibri"/>
          <w:b w:val="0"/>
          <w:bCs w:val="0"/>
          <w:sz w:val="22"/>
          <w:szCs w:val="22"/>
        </w:rPr>
      </w:r>
    </w:p>
    <w:p w14:paraId="71F266CA">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Asimismo, se solicitó a dicha unidad remitir los antecedentes necesarios </w:t>
      </w:r>
      <w:r>
        <w:rPr>
          <w:rFonts w:ascii="Calibri" w:hAnsi="Calibri" w:eastAsia="Calibri" w:cs="Calibri"/>
          <w:b w:val="0"/>
          <w:bCs w:val="0"/>
          <w:color w:val="000000"/>
          <w:sz w:val="22"/>
          <w:szCs w:val="22"/>
        </w:rPr>
        <w:t xml:space="preserve">en tiempo y forma</w:t>
      </w:r>
      <w:r>
        <w:rPr>
          <w:rFonts w:ascii="Calibri" w:hAnsi="Calibri" w:eastAsia="Calibri" w:cs="Calibri"/>
          <w:b w:val="0"/>
          <w:bCs w:val="0"/>
          <w:color w:val="000000"/>
          <w:sz w:val="22"/>
          <w:szCs w:val="22"/>
        </w:rPr>
        <w:t xml:space="preserve">, con el fin de mantener la publicación actualizada y ajustada a las exigencias de Transparencia Activa.</w:t>
      </w:r>
      <w:r>
        <w:rPr>
          <w:rFonts w:ascii="Calibri" w:hAnsi="Calibri" w:eastAsia="Calibri" w:cs="Calibri"/>
          <w:b w:val="0"/>
          <w:bCs w:val="0"/>
          <w:sz w:val="22"/>
          <w:szCs w:val="22"/>
        </w:rPr>
      </w:r>
    </w:p>
    <w:p w14:paraId="7A64AF53">
      <w:pPr>
        <w:pStyle w:val="141"/>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4.13. Sanciones por incumplimiento de la Ley de Transparencia</w:t>
      </w:r>
      <w:r>
        <w:rPr>
          <w:rFonts w:ascii="Calibri" w:hAnsi="Calibri" w:eastAsia="Calibri" w:cs="Calibri"/>
          <w:sz w:val="22"/>
          <w:szCs w:val="22"/>
        </w:rPr>
      </w:r>
    </w:p>
    <w:p w14:paraId="0A03DB03">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rPr>
        <w:t xml:space="preserve">En este apartado se procedió a incorporar en el portal las </w:t>
      </w:r>
      <w:r>
        <w:rPr>
          <w:rFonts w:ascii="Calibri" w:hAnsi="Calibri" w:eastAsia="Calibri" w:cs="Calibri"/>
          <w:b w:val="0"/>
          <w:bCs w:val="0"/>
          <w:color w:val="000000"/>
          <w:sz w:val="22"/>
          <w:szCs w:val="22"/>
        </w:rPr>
        <w:t xml:space="preserve">sanciones aplicadas a la Municipalidad de Victoria por el Consejo para la Transparencia</w:t>
      </w:r>
      <w:r>
        <w:rPr>
          <w:rFonts w:ascii="Calibri" w:hAnsi="Calibri" w:eastAsia="Calibri" w:cs="Calibri"/>
          <w:b w:val="0"/>
          <w:bCs w:val="0"/>
          <w:color w:val="000000"/>
          <w:sz w:val="22"/>
          <w:szCs w:val="22"/>
        </w:rPr>
        <w:t xml:space="preserve">, dando cumplimiento a la exigencia de publicidad activa asociada a esta materia.</w:t>
      </w:r>
      <w:r>
        <w:rPr>
          <w:rFonts w:ascii="Calibri" w:hAnsi="Calibri" w:eastAsia="Calibri" w:cs="Calibri"/>
          <w:b w:val="0"/>
          <w:bCs w:val="0"/>
          <w:sz w:val="22"/>
          <w:szCs w:val="22"/>
        </w:rPr>
      </w:r>
    </w:p>
    <w:p w14:paraId="5DE2F15B">
      <w:pPr>
        <w:pBdr>
          <w:top w:val="none" w:color="000000" w:sz="4" w:space="0"/>
          <w:left w:val="none" w:color="000000" w:sz="4" w:space="0"/>
          <w:bottom w:val="none" w:color="000000" w:sz="4" w:space="0"/>
          <w:right w:val="none" w:color="000000" w:sz="4" w:space="0"/>
        </w:pBdr>
        <w:spacing/>
        <w:ind w:right="284" w:firstLine="0" w:left="0"/>
        <w:jc w:val="both"/>
        <w:rPr>
          <w:rFonts w:ascii="Calibri" w:hAnsi="Calibri" w:cs="Calibri"/>
          <w:sz w:val="22"/>
          <w:szCs w:val="22"/>
        </w:rPr>
      </w:pPr>
      <w:r>
        <w:rPr>
          <w:rFonts w:ascii="Calibri" w:hAnsi="Calibri" w:eastAsia="Calibri" w:cs="Calibri"/>
          <w:color w:val="000000"/>
          <w:sz w:val="22"/>
          <w:szCs w:val="22"/>
        </w:rPr>
        <w:t xml:space="preserve">La incorporación de esta información permitió regularizar un contenido que debía encontrarse disponible para consulta pública conforme a la normativa aplicable.</w:t>
      </w:r>
      <w:r>
        <w:rPr>
          <w:rFonts w:ascii="Calibri" w:hAnsi="Calibri" w:eastAsia="Calibri" w:cs="Calibri"/>
          <w:sz w:val="22"/>
          <w:szCs w:val="22"/>
        </w:rPr>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r>
        <w:rPr>
          <w:rFonts w:ascii="Calibri" w:hAnsi="Calibri" w:cs="Calibri"/>
          <w:sz w:val="22"/>
          <w:szCs w:val="22"/>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cs="Calibri"/>
          <w:sz w:val="22"/>
          <w:szCs w:val="22"/>
        </w:rPr>
      </w:r>
    </w:p>
    <w:p w14:paraId="5855FC64">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5. Estado general del proceso</w:t>
      </w:r>
      <w:r>
        <w:rPr>
          <w:rFonts w:ascii="Calibri" w:hAnsi="Calibri" w:eastAsia="Calibri" w:cs="Calibri"/>
          <w:sz w:val="22"/>
          <w:szCs w:val="22"/>
        </w:rPr>
      </w:r>
    </w:p>
    <w:p w14:paraId="5B3434FC">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Las acciones descritas precedentemente dan cuenta de un proceso progresivo y sistemático de regularización de la Transparencia Activa </w:t>
      </w:r>
      <w:r>
        <w:rPr>
          <w:rFonts w:ascii="Calibri" w:hAnsi="Calibri" w:eastAsia="Calibri" w:cs="Calibri"/>
          <w:color w:val="000000"/>
          <w:sz w:val="22"/>
          <w:szCs w:val="22"/>
          <w:lang w:val="es-CL"/>
        </w:rPr>
        <w:t xml:space="preserve">municipal</w:t>
      </w:r>
      <w:r>
        <w:rPr>
          <w:rFonts w:ascii="Calibri" w:hAnsi="Calibri" w:eastAsia="Calibri" w:cs="Calibri"/>
          <w:color w:val="000000"/>
          <w:sz w:val="22"/>
          <w:szCs w:val="22"/>
        </w:rPr>
        <w:t xml:space="preserve">, el cual ha implicado migración de contenidos, rediseño de la estructura de publicación, recuperación docume</w:t>
      </w:r>
      <w:r>
        <w:rPr>
          <w:rFonts w:ascii="Calibri" w:hAnsi="Calibri" w:eastAsia="Calibri" w:cs="Calibri"/>
          <w:color w:val="000000"/>
          <w:sz w:val="22"/>
          <w:szCs w:val="22"/>
        </w:rPr>
        <w:t xml:space="preserve">ntal, reparación de enlaces, incorporación de subítems exigidos</w:t>
      </w:r>
      <w:r>
        <w:rPr>
          <w:rFonts w:ascii="Calibri" w:hAnsi="Calibri" w:eastAsia="Calibri" w:cs="Calibri"/>
          <w:color w:val="000000"/>
          <w:sz w:val="22"/>
          <w:szCs w:val="22"/>
          <w:lang w:val="es-CL"/>
        </w:rPr>
        <w:t xml:space="preserve"> por el consejo para la transparencia </w:t>
      </w:r>
      <w:r>
        <w:rPr>
          <w:rFonts w:ascii="Calibri" w:hAnsi="Calibri" w:eastAsia="Calibri" w:cs="Calibri"/>
          <w:color w:val="000000"/>
          <w:sz w:val="22"/>
          <w:szCs w:val="22"/>
        </w:rPr>
        <w:t xml:space="preserve">y coordinación permanente con las unidades responsables de generar y remitir información.</w:t>
      </w:r>
      <w:r>
        <w:rPr>
          <w:rFonts w:ascii="Calibri" w:hAnsi="Calibri" w:eastAsia="Calibri" w:cs="Calibri"/>
          <w:sz w:val="22"/>
          <w:szCs w:val="22"/>
        </w:rPr>
      </w:r>
    </w:p>
    <w:p w14:paraId="32B1A463">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A la fecha, se observan avances concretos en diversos ítems del portal, particularmente en materias de actos y documentos publicados en el Diario Oficial, potestades y marco normativo, estructura orgánica, personal y remuneraciones, adquisiciones y contrat</w:t>
      </w:r>
      <w:r>
        <w:rPr>
          <w:rFonts w:ascii="Calibri" w:hAnsi="Calibri" w:eastAsia="Calibri" w:cs="Calibri"/>
          <w:color w:val="000000"/>
          <w:sz w:val="22"/>
          <w:szCs w:val="22"/>
        </w:rPr>
        <w:t xml:space="preserve">aciones, transferencias, actos con efectos sobre terceros, subsidios y beneficios, mecanismos de participación ciudadana, información presupuestaria, participación en otras entidades, informe anual a la SUBDERE y sanciones por incumplimiento de la Ley de T</w:t>
      </w:r>
      <w:r>
        <w:rPr>
          <w:rFonts w:ascii="Calibri" w:hAnsi="Calibri" w:eastAsia="Calibri" w:cs="Calibri"/>
          <w:color w:val="000000"/>
          <w:sz w:val="22"/>
          <w:szCs w:val="22"/>
        </w:rPr>
        <w:t xml:space="preserve">ransparencia.</w:t>
      </w:r>
      <w:r>
        <w:rPr>
          <w:rFonts w:ascii="Calibri" w:hAnsi="Calibri" w:eastAsia="Calibri" w:cs="Calibri"/>
          <w:sz w:val="22"/>
          <w:szCs w:val="22"/>
        </w:rPr>
      </w:r>
    </w:p>
    <w:p w14:paraId="3E2547AF">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Sin perjuicio de lo anterior, subsisten materias pendientes o con actualización parcial, principalmente en aquellos casos en que la completitud de la publicación depende de antecedentes que deben ser remitidos por otras unidades municipales o de la recuper</w:t>
      </w:r>
      <w:r>
        <w:rPr>
          <w:rFonts w:ascii="Calibri" w:hAnsi="Calibri" w:eastAsia="Calibri" w:cs="Calibri"/>
          <w:color w:val="000000"/>
          <w:sz w:val="22"/>
          <w:szCs w:val="22"/>
        </w:rPr>
        <w:t xml:space="preserve">ación de documentación histórica. En particular, se mantiene pendiente la regularización completa de parte del ítem 11, atendido que, pese a las reiteraciones efectuadas, no se ha recepcionado íntegramente la información necesaria desde la unidad competent</w:t>
      </w:r>
      <w:r>
        <w:rPr>
          <w:rFonts w:ascii="Calibri" w:hAnsi="Calibri" w:eastAsia="Calibri" w:cs="Calibri"/>
          <w:color w:val="000000"/>
          <w:sz w:val="22"/>
          <w:szCs w:val="22"/>
        </w:rPr>
        <w:t xml:space="preserve">e.</w:t>
      </w:r>
      <w:r>
        <w:rPr>
          <w:rFonts w:ascii="Calibri" w:hAnsi="Calibri" w:eastAsia="Calibri" w:cs="Calibri"/>
          <w:sz w:val="22"/>
          <w:szCs w:val="22"/>
        </w:rPr>
      </w:r>
    </w:p>
    <w:p w14:paraId="542121B1">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En ese contexto, las gestiones efectuadas han estado orientadas no solo a corregir observaciones específicas, sino también a instalar una metodología de trabajo más ordenada, trazable y ajustada a la normativa, primero conforme al Decreto Exento N.</w:t>
      </w:r>
      <w:r>
        <w:rPr>
          <w:rFonts w:ascii="Calibri" w:hAnsi="Calibri" w:eastAsia="Calibri" w:cs="Calibri"/>
          <w:color w:val="000000"/>
          <w:sz w:val="22"/>
          <w:szCs w:val="22"/>
        </w:rPr>
        <w:t xml:space="preserve">º 500 y actualmente en proceso de adecuación al Decreto Exento D80.</w:t>
      </w:r>
      <w:r>
        <w:rPr>
          <w:rFonts w:ascii="Calibri" w:hAnsi="Calibri" w:eastAsia="Calibri" w:cs="Calibri"/>
          <w:sz w:val="22"/>
          <w:szCs w:val="22"/>
        </w:rPr>
      </w:r>
    </w:p>
    <w:p w14:paraId="27A0129B">
      <w:pPr>
        <w:pStyle w:val="140"/>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b/>
          <w:color w:val="000000"/>
          <w:sz w:val="22"/>
          <w:szCs w:val="22"/>
        </w:rPr>
        <w:t xml:space="preserve">6. Conclusión</w:t>
      </w:r>
      <w:r>
        <w:rPr>
          <w:rFonts w:ascii="Calibri" w:hAnsi="Calibri" w:eastAsia="Calibri" w:cs="Calibri"/>
          <w:sz w:val="22"/>
          <w:szCs w:val="22"/>
        </w:rPr>
      </w:r>
    </w:p>
    <w:p w14:paraId="26486A5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En conclusión, con posterioridad a la fiscalización se ha desarrollado un trabajo sostenido orientado a corregir deficiencias estructurales, actualizar contenidos, mejorar la forma de publicación de la información y fortalecer el cumplimiento institucional</w:t>
      </w:r>
      <w:r>
        <w:rPr>
          <w:rFonts w:ascii="Calibri" w:hAnsi="Calibri" w:eastAsia="Calibri" w:cs="Calibri"/>
          <w:color w:val="000000"/>
          <w:sz w:val="22"/>
          <w:szCs w:val="22"/>
        </w:rPr>
        <w:t xml:space="preserve"> en materia de Transparencia Activa.</w:t>
      </w:r>
      <w:r>
        <w:rPr>
          <w:rFonts w:ascii="Calibri" w:hAnsi="Calibri" w:eastAsia="Calibri" w:cs="Calibri"/>
          <w:sz w:val="22"/>
          <w:szCs w:val="22"/>
        </w:rPr>
      </w:r>
    </w:p>
    <w:p w14:paraId="235B24CB">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Las medidas adoptadas han permitido avanzar en la regularización de múltiples ítems observados, especialmente mediante la migración de la información desde la página web municipal al Portal para la Transparencia, la incorporación de subítems que no se enco</w:t>
      </w:r>
      <w:r>
        <w:rPr>
          <w:rFonts w:ascii="Calibri" w:hAnsi="Calibri" w:eastAsia="Calibri" w:cs="Calibri"/>
          <w:color w:val="000000"/>
          <w:sz w:val="22"/>
          <w:szCs w:val="22"/>
        </w:rPr>
        <w:t xml:space="preserve">ntraban informados, la mejora en la clasificación de contenidos, la actualización de publicaciones, la reparación de enlaces, la recuperación de antecedentes históricos y la coordinación con las distintas unidades responsables.</w:t>
      </w:r>
      <w:r>
        <w:rPr>
          <w:rFonts w:ascii="Calibri" w:hAnsi="Calibri" w:eastAsia="Calibri" w:cs="Calibri"/>
          <w:sz w:val="22"/>
          <w:szCs w:val="22"/>
        </w:rPr>
      </w:r>
    </w:p>
    <w:p w14:paraId="0DE8F411">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No obstante, parte de las materias aún presenta avances parciales, principalmente por depender de antecedentes que deben ser proporcionados por otras unidades municipales y por la necesidad de reconstruir información histórica no disponible de forma inmedi</w:t>
      </w:r>
      <w:r>
        <w:rPr>
          <w:rFonts w:ascii="Calibri" w:hAnsi="Calibri" w:eastAsia="Calibri" w:cs="Calibri"/>
          <w:color w:val="000000"/>
          <w:sz w:val="22"/>
          <w:szCs w:val="22"/>
        </w:rPr>
        <w:t xml:space="preserve">ata.</w:t>
      </w:r>
      <w:r>
        <w:rPr>
          <w:rFonts w:ascii="Calibri" w:hAnsi="Calibri" w:eastAsia="Calibri" w:cs="Calibri"/>
          <w:sz w:val="22"/>
          <w:szCs w:val="22"/>
        </w:rPr>
      </w:r>
    </w:p>
    <w:p w14:paraId="556081F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Finalmente, se deja constancia de que las acciones informadas corresponden a medidas correctivas y de fortalecimiento implementadas con posterioridad al proceso de fiscalización, en un contexto en que quien informa no ejercía la función de encargada de Tra</w:t>
      </w:r>
      <w:r>
        <w:rPr>
          <w:rFonts w:ascii="Calibri" w:hAnsi="Calibri" w:eastAsia="Calibri" w:cs="Calibri"/>
          <w:color w:val="000000"/>
          <w:sz w:val="22"/>
          <w:szCs w:val="22"/>
        </w:rPr>
        <w:t xml:space="preserve">nsparencia durante el período originalmente observado, sin perjuicio del trabajo posterior realizado para avanzar en la regularización institucional de las materias detectadas.</w:t>
      </w:r>
      <w:r>
        <w:rPr>
          <w:rFonts w:ascii="Calibri" w:hAnsi="Calibri" w:eastAsia="Calibri" w:cs="Calibri"/>
          <w:sz w:val="22"/>
          <w:szCs w:val="22"/>
        </w:rPr>
      </w:r>
    </w:p>
    <w:p w14:paraId="5171DA13">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rPr>
        <w:t xml:space="preserve">Se extiende el presente informe para los fines que estime pertinentes el Departamento Jurídico.</w:t>
      </w:r>
      <w:r>
        <w:rPr>
          <w:rFonts w:ascii="Calibri" w:hAnsi="Calibri" w:eastAsia="Calibri" w:cs="Calibri"/>
          <w:sz w:val="22"/>
          <w:szCs w:val="22"/>
        </w:rPr>
      </w:r>
    </w:p>
    <w:p w14:paraId="163DAD17">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b w:val="0"/>
          <w:bCs w:val="0"/>
          <w:sz w:val="22"/>
          <w:szCs w:val="22"/>
        </w:rPr>
      </w:pP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r>
        <w:rPr>
          <w:rFonts w:ascii="Calibri" w:hAnsi="Calibri" w:eastAsia="Calibri" w:cs="Calibri"/>
          <w:b w:val="0"/>
          <w:bCs w:val="0"/>
          <w:color w:val="000000"/>
          <w:sz w:val="22"/>
          <w:szCs w:val="22"/>
          <w:highlight w:val="none"/>
        </w:rPr>
      </w:r>
    </w:p>
    <w:p w14:paraId="618946DD">
      <w:pPr>
        <w:pBdr>
          <w:top w:val="none" w:color="000000" w:sz="4" w:space="0"/>
          <w:left w:val="none" w:color="000000" w:sz="4" w:space="0"/>
          <w:bottom w:val="none" w:color="000000" w:sz="4" w:space="0"/>
          <w:right w:val="none" w:color="000000" w:sz="4" w:space="0"/>
        </w:pBdr>
        <w:spacing/>
        <w:ind w:right="0" w:firstLine="0" w:left="0"/>
        <w:jc w:val="both"/>
        <w:rPr>
          <w:rFonts w:ascii="Calibri" w:hAnsi="Calibri" w:cs="Calibri"/>
          <w:sz w:val="22"/>
          <w:szCs w:val="22"/>
        </w:rPr>
      </w:pP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r>
        <w:rPr>
          <w:rFonts w:ascii="Calibri" w:hAnsi="Calibri" w:eastAsia="Calibri" w:cs="Calibri"/>
          <w:color w:val="000000"/>
          <w:sz w:val="22"/>
          <w:szCs w:val="22"/>
          <w:highlight w:val="none"/>
        </w:rPr>
      </w:r>
    </w:p>
    <w:p w14:paraId="0E5C90E7">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rPr>
      </w:pPr>
      <w:r>
        <w:rPr>
          <w:highlight w:val="none"/>
        </w:rPr>
      </w:r>
      <w:r>
        <w:rPr>
          <w:highlight w:val="none"/>
        </w:rPr>
      </w:r>
      <w:r>
        <w:rPr>
          <w:highlight w:val="none"/>
        </w:rPr>
      </w:r>
    </w:p>
    <w:p w14:paraId="13250E47">
      <w:pPr>
        <w:pBdr/>
        <w:spacing/>
        <w:ind/>
        <w:jc w:val="center"/>
        <w:rPr>
          <w:b/>
          <w:bCs/>
        </w:rPr>
      </w:pPr>
      <w:r>
        <w:rPr>
          <w:b/>
          <w:bCs/>
          <w:highlight w:val="none"/>
        </w:rPr>
      </w:r>
      <w:r>
        <w:rPr>
          <w:b/>
          <w:bCs/>
          <w:highlight w:val="none"/>
        </w:rPr>
      </w:r>
      <w:r>
        <w:rPr>
          <w:b/>
          <w:bCs/>
          <w:highlight w:val="none"/>
        </w:rPr>
      </w:r>
    </w:p>
    <w:sectPr>
      <w:footnotePr/>
      <w:endnotePr/>
      <w:type w:val="nextPage"/>
      <w:pgSz w:h="16838" w:orient="portrait" w:w="11906"/>
      <w:pgMar w:top="1134" w:right="1134"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210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C8DEC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A456A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208FB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2A848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77F66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65B8F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2026-04-14T23:42:31Z</dcterms:modified>
</cp:coreProperties>
</file>