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628E" w14:textId="77777777" w:rsidR="0056294E" w:rsidRPr="002A3613" w:rsidRDefault="00000000" w:rsidP="00D94ECA">
      <w:pPr>
        <w:pStyle w:val="Ttulo"/>
        <w:rPr>
          <w:rFonts w:ascii="72 Light" w:hAnsi="72 Light" w:cs="72 Light"/>
          <w:sz w:val="28"/>
          <w:szCs w:val="28"/>
        </w:rPr>
      </w:pPr>
      <w:r w:rsidRPr="002A3613">
        <w:rPr>
          <w:rFonts w:ascii="72 Light" w:hAnsi="72 Light" w:cs="72 Light"/>
          <w:sz w:val="28"/>
          <w:szCs w:val="28"/>
        </w:rPr>
        <w:t>Diccionario de índices satelitales</w:t>
      </w:r>
    </w:p>
    <w:p w14:paraId="4A8EB6F9" w14:textId="2FB5C44E" w:rsidR="0056294E" w:rsidRPr="00086BA1" w:rsidRDefault="00000000" w:rsidP="00086BA1">
      <w:pPr>
        <w:spacing w:line="276" w:lineRule="auto"/>
        <w:jc w:val="both"/>
        <w:rPr>
          <w:rFonts w:ascii="72 Light" w:hAnsi="72 Light" w:cs="72 Light"/>
          <w:szCs w:val="20"/>
        </w:rPr>
      </w:pPr>
      <w:r w:rsidRPr="00086BA1">
        <w:rPr>
          <w:rFonts w:ascii="72 Light" w:hAnsi="72 Light" w:cs="72 Light"/>
          <w:b/>
          <w:szCs w:val="20"/>
        </w:rPr>
        <w:t xml:space="preserve">Objetivo. </w:t>
      </w:r>
      <w:r w:rsidRPr="00086BA1">
        <w:rPr>
          <w:rFonts w:ascii="72 Light" w:hAnsi="72 Light" w:cs="72 Light"/>
          <w:szCs w:val="20"/>
        </w:rPr>
        <w:t>Este documento ofrece una descripción breve y orientativa de los índices y variables satelitales incluidos en los conjuntos de datos Básico y PRO.</w:t>
      </w:r>
      <w:r w:rsidR="002A3613" w:rsidRPr="00086BA1">
        <w:rPr>
          <w:rFonts w:ascii="72 Light" w:hAnsi="72 Light" w:cs="72 Light"/>
          <w:szCs w:val="20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6294E" w:rsidRPr="00086BA1" w14:paraId="1EECDDCD" w14:textId="77777777">
        <w:trPr>
          <w:jc w:val="center"/>
        </w:trPr>
        <w:tc>
          <w:tcPr>
            <w:tcW w:w="10368" w:type="dxa"/>
            <w:shd w:val="clear" w:color="auto" w:fill="EAF1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0E47FF" w14:textId="77777777" w:rsidR="0056294E" w:rsidRPr="00086BA1" w:rsidRDefault="00000000" w:rsidP="00086BA1">
            <w:pPr>
              <w:spacing w:after="0" w:line="276" w:lineRule="auto"/>
              <w:jc w:val="both"/>
              <w:rPr>
                <w:rFonts w:ascii="72 Light" w:hAnsi="72 Light" w:cs="72 Light"/>
                <w:szCs w:val="20"/>
              </w:rPr>
            </w:pPr>
            <w:r w:rsidRPr="00086BA1">
              <w:rPr>
                <w:rFonts w:ascii="72 Light" w:hAnsi="72 Light" w:cs="72 Light"/>
                <w:b/>
                <w:bCs/>
                <w:szCs w:val="20"/>
              </w:rPr>
              <w:t>Importante</w:t>
            </w:r>
            <w:r w:rsidRPr="00086BA1">
              <w:rPr>
                <w:rFonts w:ascii="72 Light" w:hAnsi="72 Light" w:cs="72 Light"/>
                <w:szCs w:val="20"/>
              </w:rPr>
              <w:t>: el diccionario es conceptual. Los nombres de los índices se conservan tal como aparecen en los archivos entregados. Para índices con distintas formulaciones publicadas o con implementación específica del proveedor, no debe asumirse una fórmula distinta a la utilizada en la fuente de datos. Los equipos deberán documentar cualquier interpretación o transformación adicional que realicen.</w:t>
            </w:r>
          </w:p>
        </w:tc>
      </w:tr>
    </w:tbl>
    <w:p w14:paraId="6E05D4BF" w14:textId="77777777" w:rsidR="00D94ECA" w:rsidRPr="002A3613" w:rsidRDefault="00D94ECA" w:rsidP="00086BA1">
      <w:pPr>
        <w:spacing w:line="276" w:lineRule="auto"/>
        <w:rPr>
          <w:rFonts w:ascii="72 Light" w:hAnsi="72 Light" w:cs="72 Light"/>
        </w:rPr>
      </w:pPr>
    </w:p>
    <w:p w14:paraId="7862C445" w14:textId="2D09B585" w:rsidR="0056294E" w:rsidRPr="002A3613" w:rsidRDefault="00000000" w:rsidP="00086BA1">
      <w:pPr>
        <w:spacing w:line="276" w:lineRule="auto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 xml:space="preserve">En cada fecha de observación, varios índices se presentan mediante estadísticos </w:t>
      </w:r>
      <w:r w:rsidR="00D94ECA" w:rsidRPr="002A3613">
        <w:rPr>
          <w:rFonts w:ascii="72 Light" w:hAnsi="72 Light" w:cs="72 Light"/>
        </w:rPr>
        <w:t xml:space="preserve">básicos </w:t>
      </w:r>
      <w:r w:rsidRPr="002A3613">
        <w:rPr>
          <w:rFonts w:ascii="72 Light" w:hAnsi="72 Light" w:cs="72 Light"/>
        </w:rPr>
        <w:t>calculados para la parcela:</w:t>
      </w:r>
    </w:p>
    <w:p w14:paraId="00108B46" w14:textId="77777777" w:rsidR="0056294E" w:rsidRPr="002A3613" w:rsidRDefault="00000000" w:rsidP="00086BA1">
      <w:pPr>
        <w:pStyle w:val="Listaconvietas"/>
        <w:spacing w:after="40" w:line="276" w:lineRule="auto"/>
        <w:ind w:left="259" w:hanging="144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>promedio: valor medio del índice para la observación de la parcela;</w:t>
      </w:r>
    </w:p>
    <w:p w14:paraId="15BBB59A" w14:textId="77777777" w:rsidR="0056294E" w:rsidRPr="002A3613" w:rsidRDefault="00000000" w:rsidP="00086BA1">
      <w:pPr>
        <w:pStyle w:val="Listaconvietas"/>
        <w:spacing w:after="40" w:line="276" w:lineRule="auto"/>
        <w:ind w:left="259" w:hanging="144"/>
        <w:rPr>
          <w:rFonts w:ascii="72 Light" w:hAnsi="72 Light" w:cs="72 Light"/>
        </w:rPr>
      </w:pPr>
      <w:proofErr w:type="spellStart"/>
      <w:r w:rsidRPr="002A3613">
        <w:rPr>
          <w:rFonts w:ascii="72 Light" w:hAnsi="72 Light" w:cs="72 Light"/>
        </w:rPr>
        <w:t>std</w:t>
      </w:r>
      <w:proofErr w:type="spellEnd"/>
      <w:r w:rsidRPr="002A3613">
        <w:rPr>
          <w:rFonts w:ascii="72 Light" w:hAnsi="72 Light" w:cs="72 Light"/>
        </w:rPr>
        <w:t>: desviación estándar, útil como medida de variabilidad espacial dentro de la parcela;</w:t>
      </w:r>
    </w:p>
    <w:p w14:paraId="5D329F20" w14:textId="77777777" w:rsidR="0056294E" w:rsidRPr="002A3613" w:rsidRDefault="00000000" w:rsidP="00086BA1">
      <w:pPr>
        <w:pStyle w:val="Listaconvietas"/>
        <w:spacing w:after="40" w:line="276" w:lineRule="auto"/>
        <w:ind w:left="259" w:hanging="144"/>
        <w:rPr>
          <w:rFonts w:ascii="72 Light" w:hAnsi="72 Light" w:cs="72 Light"/>
        </w:rPr>
      </w:pPr>
      <w:proofErr w:type="spellStart"/>
      <w:r w:rsidRPr="002A3613">
        <w:rPr>
          <w:rFonts w:ascii="72 Light" w:hAnsi="72 Light" w:cs="72 Light"/>
        </w:rPr>
        <w:t>max</w:t>
      </w:r>
      <w:proofErr w:type="spellEnd"/>
      <w:r w:rsidRPr="002A3613">
        <w:rPr>
          <w:rFonts w:ascii="72 Light" w:hAnsi="72 Light" w:cs="72 Light"/>
        </w:rPr>
        <w:t>: valor máximo observado;</w:t>
      </w:r>
    </w:p>
    <w:p w14:paraId="7A0F6F5F" w14:textId="77777777" w:rsidR="0056294E" w:rsidRPr="002A3613" w:rsidRDefault="00000000" w:rsidP="00086BA1">
      <w:pPr>
        <w:pStyle w:val="Listaconvietas"/>
        <w:spacing w:after="40" w:line="276" w:lineRule="auto"/>
        <w:ind w:left="259" w:hanging="144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>min: valor mínimo observado.</w:t>
      </w:r>
    </w:p>
    <w:p w14:paraId="3D309AF4" w14:textId="1BC8827B" w:rsidR="0056294E" w:rsidRPr="002A3613" w:rsidRDefault="002A3613" w:rsidP="00086BA1">
      <w:pPr>
        <w:spacing w:line="276" w:lineRule="auto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>El porcentaje de nubosidad se conserva como variable de calidad.</w:t>
      </w:r>
    </w:p>
    <w:p w14:paraId="0CB55DD5" w14:textId="77777777" w:rsidR="0056294E" w:rsidRPr="00C04AE3" w:rsidRDefault="00000000" w:rsidP="00086BA1">
      <w:pPr>
        <w:pStyle w:val="Ttulo1"/>
        <w:spacing w:line="276" w:lineRule="auto"/>
        <w:rPr>
          <w:rFonts w:ascii="72 Light" w:hAnsi="72 Light" w:cs="72 Light"/>
          <w:sz w:val="26"/>
          <w:szCs w:val="26"/>
        </w:rPr>
      </w:pPr>
      <w:proofErr w:type="spellStart"/>
      <w:r w:rsidRPr="00C04AE3">
        <w:rPr>
          <w:rFonts w:ascii="72 Light" w:hAnsi="72 Light" w:cs="72 Light"/>
          <w:sz w:val="26"/>
          <w:szCs w:val="26"/>
        </w:rPr>
        <w:t>Dataset</w:t>
      </w:r>
      <w:proofErr w:type="spellEnd"/>
      <w:r w:rsidRPr="00C04AE3">
        <w:rPr>
          <w:rFonts w:ascii="72 Light" w:hAnsi="72 Light" w:cs="72 Light"/>
          <w:sz w:val="26"/>
          <w:szCs w:val="26"/>
        </w:rPr>
        <w:t xml:space="preserve"> Básico</w:t>
      </w:r>
    </w:p>
    <w:p w14:paraId="24DD6A08" w14:textId="77777777" w:rsidR="0056294E" w:rsidRPr="002A3613" w:rsidRDefault="00000000" w:rsidP="00086BA1">
      <w:pPr>
        <w:spacing w:line="276" w:lineRule="auto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 xml:space="preserve">El </w:t>
      </w:r>
      <w:proofErr w:type="spellStart"/>
      <w:r w:rsidRPr="002A3613">
        <w:rPr>
          <w:rFonts w:ascii="72 Light" w:hAnsi="72 Light" w:cs="72 Light"/>
        </w:rPr>
        <w:t>Dataset</w:t>
      </w:r>
      <w:proofErr w:type="spellEnd"/>
      <w:r w:rsidRPr="002A3613">
        <w:rPr>
          <w:rFonts w:ascii="72 Light" w:hAnsi="72 Light" w:cs="72 Light"/>
        </w:rPr>
        <w:t xml:space="preserve"> Básico combina observaciones de </w:t>
      </w:r>
      <w:r w:rsidRPr="002A3613">
        <w:rPr>
          <w:rFonts w:ascii="72 Light" w:hAnsi="72 Light" w:cs="72 Light"/>
          <w:b/>
        </w:rPr>
        <w:t>Sentinel-2</w:t>
      </w:r>
      <w:r w:rsidRPr="002A3613">
        <w:rPr>
          <w:rFonts w:ascii="72 Light" w:hAnsi="72 Light" w:cs="72 Light"/>
        </w:rPr>
        <w:t xml:space="preserve"> para la mayor parte de los índices y una variable derivada de </w:t>
      </w:r>
      <w:r w:rsidRPr="002A3613">
        <w:rPr>
          <w:rFonts w:ascii="72 Light" w:hAnsi="72 Light" w:cs="72 Light"/>
          <w:b/>
        </w:rPr>
        <w:t>Landsat (VI6T)</w:t>
      </w:r>
      <w:r w:rsidRPr="002A3613">
        <w:rPr>
          <w:rFonts w:ascii="72 Light" w:hAnsi="72 Light" w:cs="72 Light"/>
        </w:rPr>
        <w:t>. Las variables están asociadas por identificador de parcela y fecha de captura.</w:t>
      </w:r>
    </w:p>
    <w:tbl>
      <w:tblPr>
        <w:tblW w:w="0" w:type="auto"/>
        <w:jc w:val="center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827"/>
        <w:gridCol w:w="4975"/>
      </w:tblGrid>
      <w:tr w:rsidR="00C04AE3" w:rsidRPr="002A3613" w14:paraId="7C0C62E8" w14:textId="77777777" w:rsidTr="00C04AE3">
        <w:trPr>
          <w:tblHeader/>
          <w:jc w:val="center"/>
        </w:trPr>
        <w:tc>
          <w:tcPr>
            <w:tcW w:w="1271" w:type="dxa"/>
            <w:shd w:val="clear" w:color="auto" w:fill="16324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396A7B" w14:textId="77777777" w:rsidR="00C04AE3" w:rsidRPr="002A3613" w:rsidRDefault="00C04AE3">
            <w:pPr>
              <w:spacing w:after="0"/>
              <w:jc w:val="center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FFFFFF"/>
                <w:sz w:val="17"/>
              </w:rPr>
              <w:t>Índice</w:t>
            </w:r>
          </w:p>
        </w:tc>
        <w:tc>
          <w:tcPr>
            <w:tcW w:w="2827" w:type="dxa"/>
            <w:shd w:val="clear" w:color="auto" w:fill="16324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6C5A6" w14:textId="77777777" w:rsidR="00C04AE3" w:rsidRPr="002A3613" w:rsidRDefault="00C04AE3">
            <w:pPr>
              <w:spacing w:after="0"/>
              <w:jc w:val="center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FFFFFF"/>
                <w:sz w:val="17"/>
              </w:rPr>
              <w:t>Nombre / categoría</w:t>
            </w:r>
          </w:p>
        </w:tc>
        <w:tc>
          <w:tcPr>
            <w:tcW w:w="4975" w:type="dxa"/>
            <w:shd w:val="clear" w:color="auto" w:fill="16324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C970C2" w14:textId="77777777" w:rsidR="00C04AE3" w:rsidRPr="002A3613" w:rsidRDefault="00C04AE3" w:rsidP="00C04AE3">
            <w:pPr>
              <w:spacing w:after="0"/>
              <w:jc w:val="center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FFFFFF"/>
                <w:sz w:val="17"/>
              </w:rPr>
              <w:t>¿Qué representa?</w:t>
            </w:r>
          </w:p>
        </w:tc>
      </w:tr>
      <w:tr w:rsidR="00C04AE3" w:rsidRPr="002A3613" w14:paraId="4EB4627E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23B4B02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NDVI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7B92E6B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6369C88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Indicador general de presencia, vigor y actividad de vegetación verde.</w:t>
            </w:r>
          </w:p>
        </w:tc>
      </w:tr>
      <w:tr w:rsidR="00C04AE3" w:rsidRPr="002A3613" w14:paraId="42D32AB9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9335DED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EVI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2A74B5A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7029815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de vigor vegetal diseñado para reducir parte de la influencia del suelo y de efectos atmosféricos.</w:t>
            </w:r>
          </w:p>
        </w:tc>
      </w:tr>
      <w:tr w:rsidR="00C04AE3" w:rsidRPr="002A3613" w14:paraId="06E0B009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A1AD62C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CRC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2971D18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 xml:space="preserve">Crop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Residue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Cover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A43E3A7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Respuesta espectral asociada con cobertura de residuos de cultivo sobre la superficie.</w:t>
            </w:r>
          </w:p>
        </w:tc>
      </w:tr>
      <w:tr w:rsidR="00C04AE3" w:rsidRPr="002A3613" w14:paraId="321C76AB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4CDECB5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MCRC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AFED8BD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Modified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Crop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Residue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Cover</w:t>
            </w:r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DCD7D3D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Variante modificada de índices orientados a detectar residuos de cultivo.</w:t>
            </w:r>
          </w:p>
        </w:tc>
      </w:tr>
      <w:tr w:rsidR="00C04AE3" w:rsidRPr="002A3613" w14:paraId="7D7C3832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90147DB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NDSVI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12E45D9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Senescent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73A4C88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sensible a vegetación senescente y material vegetal no fotosintético.</w:t>
            </w:r>
          </w:p>
        </w:tc>
      </w:tr>
      <w:tr w:rsidR="00C04AE3" w:rsidRPr="002A3613" w14:paraId="4BC5F93F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184DADD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SRNDI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0CD1E24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Shortwave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Red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809F3FD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Contrasta información del infrarrojo de onda corta con la región roja del espectro.</w:t>
            </w:r>
          </w:p>
        </w:tc>
      </w:tr>
      <w:tr w:rsidR="00C04AE3" w:rsidRPr="002A3613" w14:paraId="1ACB9F96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4F7C400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MRA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026ECDF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MRA (nomenclatura del proveedor)</w:t>
            </w:r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059FBAE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Variable espectral entregada bajo la abreviatura MRA.</w:t>
            </w:r>
          </w:p>
        </w:tc>
      </w:tr>
      <w:tr w:rsidR="00C04AE3" w:rsidRPr="002A3613" w14:paraId="235BE999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0B5F1DF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LAI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F0CAA37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Leaf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Area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3EACE49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Variable biofísica que representa la cantidad de superficie foliar respecto de la superficie del terreno.</w:t>
            </w:r>
          </w:p>
        </w:tc>
      </w:tr>
      <w:tr w:rsidR="00C04AE3" w:rsidRPr="002A3613" w14:paraId="58FDD379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81D4D7A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FAPAR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7321252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 xml:space="preserve">Fraction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of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Absorbed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Photosynthetically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Active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Radiation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6F594D4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Fracción de la radiación fotosintéticamente activa absorbida por la vegetación.</w:t>
            </w:r>
          </w:p>
        </w:tc>
      </w:tr>
      <w:tr w:rsidR="00C04AE3" w:rsidRPr="002A3613" w14:paraId="18E78512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CA6B4A2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SAVI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26C5F00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Soil-Adjusted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2856D06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de vegetación que reduce la influencia del brillo del suelo.</w:t>
            </w:r>
          </w:p>
        </w:tc>
      </w:tr>
      <w:tr w:rsidR="00C04AE3" w:rsidRPr="002A3613" w14:paraId="7646CB3F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4E8AF9A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NDTI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DA552ED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Tillage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A6B3FD6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basado en el infrarrojo de onda corta para caracterizar suelo, residuos y condiciones de labranza.</w:t>
            </w:r>
          </w:p>
        </w:tc>
      </w:tr>
      <w:tr w:rsidR="00C04AE3" w:rsidRPr="002A3613" w14:paraId="2F12E95A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4F027B3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STI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C2FC296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 xml:space="preserve">Simple Tillage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F48D60D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Relación espectral utilizada para caracterizar residuos y condiciones de labranza.</w:t>
            </w:r>
          </w:p>
        </w:tc>
      </w:tr>
      <w:tr w:rsidR="00C04AE3" w:rsidRPr="002A3613" w14:paraId="2D63E876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38EF026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NDWI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D9F9C1A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Water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F345110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relacionado con agua o humedad a partir del contraste entre bandas espectrales.</w:t>
            </w:r>
          </w:p>
        </w:tc>
      </w:tr>
      <w:tr w:rsidR="00C04AE3" w:rsidRPr="002A3613" w14:paraId="6AB36011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CD9B50E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ENDWI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703D125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Water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87B6A68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Variante “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>” de un índice normalizado de agua/humedad.</w:t>
            </w:r>
          </w:p>
        </w:tc>
      </w:tr>
      <w:tr w:rsidR="00C04AE3" w:rsidRPr="002A3613" w14:paraId="67CB3AA3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E79622F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MSI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1B8A880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Moisture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425010D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sensible al contenido de agua de la vegetación y al estrés hídrico.</w:t>
            </w:r>
          </w:p>
        </w:tc>
      </w:tr>
      <w:tr w:rsidR="00C04AE3" w:rsidRPr="002A3613" w14:paraId="1A1A80F0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A955BAC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lastRenderedPageBreak/>
              <w:t>EMSI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EEADB3B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Moisture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2E9491E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Variante orientada a ampliar la sensibilidad a cambios de humedad o estrés de la vegetación.</w:t>
            </w:r>
          </w:p>
        </w:tc>
      </w:tr>
      <w:tr w:rsidR="00C04AE3" w:rsidRPr="002A3613" w14:paraId="2421C214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5D124E6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DSWI2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3813763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Disease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-Water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2</w:t>
            </w:r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F36B4C5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espectral desarrollado para detectar cambios relacionados con estrés hídrico y condición vegetal.</w:t>
            </w:r>
          </w:p>
        </w:tc>
      </w:tr>
      <w:tr w:rsidR="00C04AE3" w:rsidRPr="002A3613" w14:paraId="1F657B42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E1F2C98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DSWI3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CFE9274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Disease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-Water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3</w:t>
            </w:r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D455C62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 xml:space="preserve">Variante de la familia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Disease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-Water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con distinta combinación de bandas.</w:t>
            </w:r>
          </w:p>
        </w:tc>
      </w:tr>
      <w:tr w:rsidR="00C04AE3" w:rsidRPr="002A3613" w14:paraId="3D065801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3365E22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DSWI4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7C5F8F3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Disease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-Water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4</w:t>
            </w:r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0EC3766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de la misma familia que utiliza un contraste espectral diferente.</w:t>
            </w:r>
          </w:p>
        </w:tc>
      </w:tr>
      <w:tr w:rsidR="00C04AE3" w:rsidRPr="002A3613" w14:paraId="3EC0018C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76AF4D5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DSWI5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D3F5A62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Disease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-Water Stress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5</w:t>
            </w:r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27B34A0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multibanda orientado a caracterizar condición vegetal y estrés hídrico.</w:t>
            </w:r>
          </w:p>
        </w:tc>
      </w:tr>
      <w:tr w:rsidR="00C04AE3" w:rsidRPr="002A3613" w14:paraId="65932369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7082A81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NDDI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F537E1D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Drought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11A03EB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que integra información de vegetación y humedad para caracterizar condiciones de sequedad.</w:t>
            </w:r>
          </w:p>
        </w:tc>
      </w:tr>
      <w:tr w:rsidR="00C04AE3" w:rsidRPr="002A3613" w14:paraId="2245EAE6" w14:textId="77777777" w:rsidTr="00C04AE3">
        <w:trPr>
          <w:cantSplit/>
          <w:jc w:val="center"/>
        </w:trPr>
        <w:tc>
          <w:tcPr>
            <w:tcW w:w="1271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8C2602A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ENDDI</w:t>
            </w:r>
          </w:p>
        </w:tc>
        <w:tc>
          <w:tcPr>
            <w:tcW w:w="2827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3F0101D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Drought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975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BA6EEBF" w14:textId="7777777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Variante “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>” de un índice de sequedad que incorpora una señal hídrica complementaria.</w:t>
            </w:r>
          </w:p>
        </w:tc>
      </w:tr>
      <w:tr w:rsidR="00C04AE3" w:rsidRPr="002A3613" w14:paraId="4981B0BA" w14:textId="77777777" w:rsidTr="00C04AE3">
        <w:trPr>
          <w:cantSplit/>
          <w:jc w:val="center"/>
        </w:trPr>
        <w:tc>
          <w:tcPr>
            <w:tcW w:w="1271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F51326C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VI6T</w:t>
            </w:r>
          </w:p>
        </w:tc>
        <w:tc>
          <w:tcPr>
            <w:tcW w:w="2827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9085445" w14:textId="251A460C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 xml:space="preserve">VI6T </w:t>
            </w:r>
          </w:p>
        </w:tc>
        <w:tc>
          <w:tcPr>
            <w:tcW w:w="4975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F95986E" w14:textId="3FBF3327" w:rsidR="00C04AE3" w:rsidRPr="002A3613" w:rsidRDefault="00C04AE3" w:rsidP="00C04AE3">
            <w:pPr>
              <w:spacing w:after="0" w:line="240" w:lineRule="auto"/>
              <w:jc w:val="both"/>
              <w:rPr>
                <w:rFonts w:ascii="72 Light" w:hAnsi="72 Light" w:cs="72 Light"/>
              </w:rPr>
            </w:pPr>
            <w:r>
              <w:rPr>
                <w:rFonts w:ascii="72 Light" w:hAnsi="72 Light" w:cs="72 Light"/>
                <w:sz w:val="17"/>
              </w:rPr>
              <w:t>Í</w:t>
            </w:r>
            <w:r w:rsidRPr="00C04AE3">
              <w:rPr>
                <w:rFonts w:ascii="72 Light" w:hAnsi="72 Light" w:cs="72 Light"/>
                <w:sz w:val="17"/>
              </w:rPr>
              <w:t>ndice espectral-térmico proporcionado para las observaciones Landsat. Combina información de una banda espectral con información térmica de la superficie. Puede aportar información complementaria sobre cambios en las condiciones espectrales y térmicas de la superficie.</w:t>
            </w:r>
          </w:p>
        </w:tc>
      </w:tr>
    </w:tbl>
    <w:p w14:paraId="0F65B6D3" w14:textId="77777777" w:rsidR="0056294E" w:rsidRPr="00C04AE3" w:rsidRDefault="00000000">
      <w:pPr>
        <w:pStyle w:val="Ttulo1"/>
        <w:rPr>
          <w:rFonts w:ascii="72 Light" w:hAnsi="72 Light" w:cs="72 Light"/>
          <w:sz w:val="26"/>
          <w:szCs w:val="26"/>
        </w:rPr>
      </w:pPr>
      <w:proofErr w:type="spellStart"/>
      <w:r w:rsidRPr="00C04AE3">
        <w:rPr>
          <w:rFonts w:ascii="72 Light" w:hAnsi="72 Light" w:cs="72 Light"/>
          <w:sz w:val="26"/>
          <w:szCs w:val="26"/>
        </w:rPr>
        <w:t>Dataset</w:t>
      </w:r>
      <w:proofErr w:type="spellEnd"/>
      <w:r w:rsidRPr="00C04AE3">
        <w:rPr>
          <w:rFonts w:ascii="72 Light" w:hAnsi="72 Light" w:cs="72 Light"/>
          <w:sz w:val="26"/>
          <w:szCs w:val="26"/>
        </w:rPr>
        <w:t xml:space="preserve"> PRO</w:t>
      </w:r>
    </w:p>
    <w:p w14:paraId="4C237BAB" w14:textId="77777777" w:rsidR="0056294E" w:rsidRPr="002A3613" w:rsidRDefault="00000000" w:rsidP="00C04AE3">
      <w:pPr>
        <w:jc w:val="both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 xml:space="preserve">El </w:t>
      </w:r>
      <w:proofErr w:type="spellStart"/>
      <w:r w:rsidRPr="002A3613">
        <w:rPr>
          <w:rFonts w:ascii="72 Light" w:hAnsi="72 Light" w:cs="72 Light"/>
        </w:rPr>
        <w:t>Dataset</w:t>
      </w:r>
      <w:proofErr w:type="spellEnd"/>
      <w:r w:rsidRPr="002A3613">
        <w:rPr>
          <w:rFonts w:ascii="72 Light" w:hAnsi="72 Light" w:cs="72 Light"/>
        </w:rPr>
        <w:t xml:space="preserve"> PRO contiene observaciones derivadas de </w:t>
      </w:r>
      <w:r w:rsidRPr="002A3613">
        <w:rPr>
          <w:rFonts w:ascii="72 Light" w:hAnsi="72 Light" w:cs="72 Light"/>
          <w:b/>
        </w:rPr>
        <w:t>Planet</w:t>
      </w:r>
      <w:r w:rsidRPr="002A3613">
        <w:rPr>
          <w:rFonts w:ascii="72 Light" w:hAnsi="72 Light" w:cs="72 Light"/>
        </w:rPr>
        <w:t xml:space="preserve"> e incluye NDVI, EVI, LAI y MSAVI. Aunque algunos nombres coinciden con el </w:t>
      </w:r>
      <w:proofErr w:type="spellStart"/>
      <w:r w:rsidRPr="002A3613">
        <w:rPr>
          <w:rFonts w:ascii="72 Light" w:hAnsi="72 Light" w:cs="72 Light"/>
        </w:rPr>
        <w:t>Dataset</w:t>
      </w:r>
      <w:proofErr w:type="spellEnd"/>
      <w:r w:rsidRPr="002A3613">
        <w:rPr>
          <w:rFonts w:ascii="72 Light" w:hAnsi="72 Light" w:cs="72 Light"/>
        </w:rPr>
        <w:t xml:space="preserve"> Básico, los valores provienen de otra fuente y no deben fusionarse automáticamente como si fueran mediciones equivalentes.</w:t>
      </w:r>
    </w:p>
    <w:tbl>
      <w:tblPr>
        <w:tblW w:w="0" w:type="auto"/>
        <w:jc w:val="center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2376"/>
        <w:gridCol w:w="4833"/>
      </w:tblGrid>
      <w:tr w:rsidR="00C04AE3" w:rsidRPr="002A3613" w14:paraId="057AFEF8" w14:textId="77777777" w:rsidTr="00C04AE3">
        <w:trPr>
          <w:tblHeader/>
          <w:jc w:val="center"/>
        </w:trPr>
        <w:tc>
          <w:tcPr>
            <w:tcW w:w="1864" w:type="dxa"/>
            <w:shd w:val="clear" w:color="auto" w:fill="16324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C1FBF" w14:textId="77777777" w:rsidR="00C04AE3" w:rsidRPr="002A3613" w:rsidRDefault="00C04AE3">
            <w:pPr>
              <w:spacing w:after="0"/>
              <w:jc w:val="center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FFFFFF"/>
                <w:sz w:val="17"/>
              </w:rPr>
              <w:t>Índice</w:t>
            </w:r>
          </w:p>
        </w:tc>
        <w:tc>
          <w:tcPr>
            <w:tcW w:w="2376" w:type="dxa"/>
            <w:shd w:val="clear" w:color="auto" w:fill="16324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AA6F2" w14:textId="77777777" w:rsidR="00C04AE3" w:rsidRPr="002A3613" w:rsidRDefault="00C04AE3">
            <w:pPr>
              <w:spacing w:after="0"/>
              <w:jc w:val="center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FFFFFF"/>
                <w:sz w:val="17"/>
              </w:rPr>
              <w:t>Nombre / categoría</w:t>
            </w:r>
          </w:p>
        </w:tc>
        <w:tc>
          <w:tcPr>
            <w:tcW w:w="4833" w:type="dxa"/>
            <w:shd w:val="clear" w:color="auto" w:fill="16324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37378" w14:textId="77777777" w:rsidR="00C04AE3" w:rsidRPr="002A3613" w:rsidRDefault="00C04AE3">
            <w:pPr>
              <w:spacing w:after="0"/>
              <w:jc w:val="center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FFFFFF"/>
                <w:sz w:val="17"/>
              </w:rPr>
              <w:t>¿Qué representa?</w:t>
            </w:r>
          </w:p>
        </w:tc>
      </w:tr>
      <w:tr w:rsidR="00C04AE3" w:rsidRPr="002A3613" w14:paraId="38A6E989" w14:textId="77777777" w:rsidTr="00C04AE3">
        <w:trPr>
          <w:cantSplit/>
          <w:jc w:val="center"/>
        </w:trPr>
        <w:tc>
          <w:tcPr>
            <w:tcW w:w="186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A9416E8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NDVI</w:t>
            </w:r>
          </w:p>
        </w:tc>
        <w:tc>
          <w:tcPr>
            <w:tcW w:w="237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E3F9F90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Normalized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Difference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833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9D95CFB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Indicador general de vigor y presencia de vegetación verde.</w:t>
            </w:r>
          </w:p>
        </w:tc>
      </w:tr>
      <w:tr w:rsidR="00C04AE3" w:rsidRPr="002A3613" w14:paraId="6841467D" w14:textId="77777777" w:rsidTr="00C04AE3">
        <w:trPr>
          <w:cantSplit/>
          <w:jc w:val="center"/>
        </w:trPr>
        <w:tc>
          <w:tcPr>
            <w:tcW w:w="1864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659EFFA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EVI</w:t>
            </w:r>
          </w:p>
        </w:tc>
        <w:tc>
          <w:tcPr>
            <w:tcW w:w="2376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3584766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Enhanced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833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CB7FE61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Indicador de vigor vegetal con ajustes para reducir parte de los efectos del fondo y la atmósfera.</w:t>
            </w:r>
          </w:p>
        </w:tc>
      </w:tr>
      <w:tr w:rsidR="00C04AE3" w:rsidRPr="002A3613" w14:paraId="1380974D" w14:textId="77777777" w:rsidTr="00C04AE3">
        <w:trPr>
          <w:cantSplit/>
          <w:jc w:val="center"/>
        </w:trPr>
        <w:tc>
          <w:tcPr>
            <w:tcW w:w="186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B3A1F93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LAI</w:t>
            </w:r>
          </w:p>
        </w:tc>
        <w:tc>
          <w:tcPr>
            <w:tcW w:w="237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FDA0F09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Leaf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Area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833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B7FB4CC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Variable biofísica relacionada con la superficie foliar del dosel.</w:t>
            </w:r>
          </w:p>
        </w:tc>
      </w:tr>
      <w:tr w:rsidR="00C04AE3" w:rsidRPr="002A3613" w14:paraId="7CC376A7" w14:textId="77777777" w:rsidTr="00C04AE3">
        <w:trPr>
          <w:cantSplit/>
          <w:jc w:val="center"/>
        </w:trPr>
        <w:tc>
          <w:tcPr>
            <w:tcW w:w="1864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7392BC8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b/>
                <w:color w:val="6C8B2B"/>
                <w:sz w:val="17"/>
              </w:rPr>
              <w:t>MSAVI</w:t>
            </w:r>
          </w:p>
        </w:tc>
        <w:tc>
          <w:tcPr>
            <w:tcW w:w="2376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7516414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proofErr w:type="spellStart"/>
            <w:r w:rsidRPr="002A3613">
              <w:rPr>
                <w:rFonts w:ascii="72 Light" w:hAnsi="72 Light" w:cs="72 Light"/>
                <w:sz w:val="17"/>
              </w:rPr>
              <w:t>Modified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Soil-Adjusted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Vegetation</w:t>
            </w:r>
            <w:proofErr w:type="spellEnd"/>
            <w:r w:rsidRPr="002A3613">
              <w:rPr>
                <w:rFonts w:ascii="72 Light" w:hAnsi="72 Light" w:cs="72 Light"/>
                <w:sz w:val="17"/>
              </w:rPr>
              <w:t xml:space="preserve"> </w:t>
            </w:r>
            <w:proofErr w:type="spellStart"/>
            <w:r w:rsidRPr="002A3613">
              <w:rPr>
                <w:rFonts w:ascii="72 Light" w:hAnsi="72 Light" w:cs="72 Light"/>
                <w:sz w:val="17"/>
              </w:rPr>
              <w:t>Index</w:t>
            </w:r>
            <w:proofErr w:type="spellEnd"/>
          </w:p>
        </w:tc>
        <w:tc>
          <w:tcPr>
            <w:tcW w:w="4833" w:type="dxa"/>
            <w:shd w:val="clear" w:color="auto" w:fill="F3F4F5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8795DF6" w14:textId="77777777" w:rsidR="00C04AE3" w:rsidRPr="002A3613" w:rsidRDefault="00C04AE3">
            <w:pPr>
              <w:spacing w:after="0" w:line="240" w:lineRule="auto"/>
              <w:rPr>
                <w:rFonts w:ascii="72 Light" w:hAnsi="72 Light" w:cs="72 Light"/>
              </w:rPr>
            </w:pPr>
            <w:r w:rsidRPr="002A3613">
              <w:rPr>
                <w:rFonts w:ascii="72 Light" w:hAnsi="72 Light" w:cs="72 Light"/>
                <w:sz w:val="17"/>
              </w:rPr>
              <w:t>Índice de vegetación diseñado para reducir de forma adaptativa la influencia del suelo.</w:t>
            </w:r>
          </w:p>
        </w:tc>
      </w:tr>
    </w:tbl>
    <w:p w14:paraId="71ABE338" w14:textId="77777777" w:rsidR="0056294E" w:rsidRPr="00C04AE3" w:rsidRDefault="00000000" w:rsidP="00C04AE3">
      <w:pPr>
        <w:pStyle w:val="Ttulo1"/>
        <w:rPr>
          <w:rFonts w:ascii="72 Light" w:hAnsi="72 Light" w:cs="72 Light"/>
          <w:sz w:val="26"/>
          <w:szCs w:val="26"/>
        </w:rPr>
      </w:pPr>
      <w:r w:rsidRPr="00C04AE3">
        <w:rPr>
          <w:rFonts w:ascii="72 Light" w:hAnsi="72 Light" w:cs="72 Light"/>
          <w:sz w:val="26"/>
          <w:szCs w:val="26"/>
        </w:rPr>
        <w:t>Consideraciones para el análisis</w:t>
      </w:r>
    </w:p>
    <w:p w14:paraId="6A38D39A" w14:textId="77777777" w:rsidR="0056294E" w:rsidRPr="002A3613" w:rsidRDefault="00000000" w:rsidP="00C04AE3">
      <w:pPr>
        <w:pStyle w:val="Listaconvietas"/>
        <w:spacing w:after="40"/>
        <w:ind w:left="259" w:hanging="144"/>
        <w:jc w:val="both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>No existen umbrales universales aplicables a todas las parcelas, fechas y etapas fenológicas. La interpretación debe considerar la evolución temporal del cultivo.</w:t>
      </w:r>
    </w:p>
    <w:p w14:paraId="16DE5142" w14:textId="77777777" w:rsidR="0056294E" w:rsidRPr="00796637" w:rsidRDefault="00000000" w:rsidP="00C04AE3">
      <w:pPr>
        <w:pStyle w:val="Listaconvietas"/>
        <w:spacing w:after="40"/>
        <w:ind w:left="259" w:hanging="144"/>
        <w:jc w:val="both"/>
        <w:rPr>
          <w:rFonts w:ascii="72 Light" w:hAnsi="72 Light" w:cs="72 Light"/>
        </w:rPr>
      </w:pPr>
      <w:r w:rsidRPr="00796637">
        <w:rPr>
          <w:rFonts w:ascii="72 Light" w:hAnsi="72 Light" w:cs="72 Light"/>
        </w:rPr>
        <w:t>Una misma variable obtenida de sensores distintos puede presentar diferencias de resolución, respuesta espectral, frecuencia de observación y procesamiento. Se recomienda conservar la identificación del sensor durante el análisis.</w:t>
      </w:r>
    </w:p>
    <w:p w14:paraId="55480315" w14:textId="3D9CF902" w:rsidR="0056294E" w:rsidRPr="002A3613" w:rsidRDefault="00000000" w:rsidP="00086BA1">
      <w:pPr>
        <w:pStyle w:val="Listaconvietas"/>
        <w:numPr>
          <w:ilvl w:val="0"/>
          <w:numId w:val="0"/>
        </w:numPr>
        <w:spacing w:after="40"/>
        <w:ind w:left="115"/>
        <w:jc w:val="both"/>
        <w:rPr>
          <w:rFonts w:ascii="72 Light" w:hAnsi="72 Light" w:cs="72 Light"/>
        </w:rPr>
      </w:pPr>
      <w:r w:rsidRPr="002A3613">
        <w:rPr>
          <w:rFonts w:ascii="72 Light" w:hAnsi="72 Light" w:cs="72 Light"/>
        </w:rPr>
        <w:t>.</w:t>
      </w:r>
    </w:p>
    <w:p w14:paraId="06F83856" w14:textId="77777777" w:rsidR="00454A17" w:rsidRPr="002A3613" w:rsidRDefault="00454A17">
      <w:pPr>
        <w:rPr>
          <w:rFonts w:ascii="72 Light" w:hAnsi="72 Light" w:cs="72 Light"/>
        </w:rPr>
      </w:pPr>
    </w:p>
    <w:sectPr w:rsidR="00454A17" w:rsidRPr="002A3613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FF97" w14:textId="77777777" w:rsidR="000B4D2F" w:rsidRPr="00D94ECA" w:rsidRDefault="000B4D2F">
      <w:pPr>
        <w:spacing w:after="0" w:line="240" w:lineRule="auto"/>
      </w:pPr>
      <w:r w:rsidRPr="00D94ECA">
        <w:separator/>
      </w:r>
    </w:p>
  </w:endnote>
  <w:endnote w:type="continuationSeparator" w:id="0">
    <w:p w14:paraId="28BE8914" w14:textId="77777777" w:rsidR="000B4D2F" w:rsidRPr="00D94ECA" w:rsidRDefault="000B4D2F">
      <w:pPr>
        <w:spacing w:after="0" w:line="240" w:lineRule="auto"/>
      </w:pPr>
      <w:r w:rsidRPr="00D94E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72 Light">
    <w:panose1 w:val="020B03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BAFC" w14:textId="5BDC5CD0" w:rsidR="0056294E" w:rsidRPr="00D94ECA" w:rsidRDefault="00000000" w:rsidP="00086BA1">
    <w:pPr>
      <w:pStyle w:val="Piedepgina"/>
    </w:pPr>
    <w:r w:rsidRPr="00D94ECA">
      <w:rPr>
        <w:color w:val="5B646C"/>
        <w:sz w:val="16"/>
      </w:rPr>
      <w:t>Reto AgroCebada</w:t>
    </w:r>
    <w:r w:rsidR="00086BA1">
      <w:rPr>
        <w:color w:val="5B646C"/>
        <w:sz w:val="16"/>
      </w:rPr>
      <w:t xml:space="preserve"> </w:t>
    </w:r>
    <w:r w:rsidR="00086BA1" w:rsidRPr="00D94ECA">
      <w:rPr>
        <w:color w:val="5B646C"/>
        <w:sz w:val="16"/>
      </w:rPr>
      <w:t>FIRA</w:t>
    </w:r>
    <w:r w:rsidRPr="00D94ECA">
      <w:rPr>
        <w:color w:val="5B646C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ED1E9" w14:textId="77777777" w:rsidR="000B4D2F" w:rsidRPr="00D94ECA" w:rsidRDefault="000B4D2F">
      <w:pPr>
        <w:spacing w:after="0" w:line="240" w:lineRule="auto"/>
      </w:pPr>
      <w:r w:rsidRPr="00D94ECA">
        <w:separator/>
      </w:r>
    </w:p>
  </w:footnote>
  <w:footnote w:type="continuationSeparator" w:id="0">
    <w:p w14:paraId="63C2EBB3" w14:textId="77777777" w:rsidR="000B4D2F" w:rsidRPr="00D94ECA" w:rsidRDefault="000B4D2F">
      <w:pPr>
        <w:spacing w:after="0" w:line="240" w:lineRule="auto"/>
      </w:pPr>
      <w:r w:rsidRPr="00D94E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324F" w14:textId="21198BE6" w:rsidR="0056294E" w:rsidRPr="00D94ECA" w:rsidRDefault="00D94ECA">
    <w:pPr>
      <w:pStyle w:val="Encabezado"/>
    </w:pPr>
    <w:r w:rsidRPr="00D94ECA">
      <w:rPr>
        <w:noProof/>
      </w:rPr>
      <w:drawing>
        <wp:anchor distT="0" distB="0" distL="114300" distR="114300" simplePos="0" relativeHeight="251658752" behindDoc="1" locked="0" layoutInCell="1" allowOverlap="1" wp14:anchorId="02C08D0D" wp14:editId="5B55335E">
          <wp:simplePos x="0" y="0"/>
          <wp:positionH relativeFrom="column">
            <wp:posOffset>5704224</wp:posOffset>
          </wp:positionH>
          <wp:positionV relativeFrom="paragraph">
            <wp:posOffset>-320514</wp:posOffset>
          </wp:positionV>
          <wp:extent cx="1325880" cy="359964"/>
          <wp:effectExtent l="0" t="0" r="0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FIRA 2025 Vectores CMYK_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59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776296">
    <w:abstractNumId w:val="8"/>
  </w:num>
  <w:num w:numId="2" w16cid:durableId="1896970030">
    <w:abstractNumId w:val="6"/>
  </w:num>
  <w:num w:numId="3" w16cid:durableId="204173657">
    <w:abstractNumId w:val="5"/>
  </w:num>
  <w:num w:numId="4" w16cid:durableId="243994015">
    <w:abstractNumId w:val="4"/>
  </w:num>
  <w:num w:numId="5" w16cid:durableId="2109352322">
    <w:abstractNumId w:val="7"/>
  </w:num>
  <w:num w:numId="6" w16cid:durableId="1280257293">
    <w:abstractNumId w:val="3"/>
  </w:num>
  <w:num w:numId="7" w16cid:durableId="2083411048">
    <w:abstractNumId w:val="2"/>
  </w:num>
  <w:num w:numId="8" w16cid:durableId="797377932">
    <w:abstractNumId w:val="1"/>
  </w:num>
  <w:num w:numId="9" w16cid:durableId="208044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BA1"/>
    <w:rsid w:val="000B4D2F"/>
    <w:rsid w:val="0015074B"/>
    <w:rsid w:val="0029639D"/>
    <w:rsid w:val="002A3613"/>
    <w:rsid w:val="002A4A29"/>
    <w:rsid w:val="00326F90"/>
    <w:rsid w:val="00336A59"/>
    <w:rsid w:val="00454A17"/>
    <w:rsid w:val="0056294E"/>
    <w:rsid w:val="00796637"/>
    <w:rsid w:val="00AA1D8D"/>
    <w:rsid w:val="00B47730"/>
    <w:rsid w:val="00C04AE3"/>
    <w:rsid w:val="00CB0664"/>
    <w:rsid w:val="00D94ECA"/>
    <w:rsid w:val="00DE6007"/>
    <w:rsid w:val="00F55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4D32F"/>
  <w14:defaultImageDpi w14:val="300"/>
  <w15:docId w15:val="{899EF395-781A-4F34-8646-954E57F9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D3439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6324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6C8B2B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Ivan Argueta Navarrete</cp:lastModifiedBy>
  <cp:revision>3</cp:revision>
  <dcterms:created xsi:type="dcterms:W3CDTF">2026-09-09T19:43:00Z</dcterms:created>
  <dcterms:modified xsi:type="dcterms:W3CDTF">2026-09-11T15:08:00Z</dcterms:modified>
  <cp:category/>
</cp:coreProperties>
</file>