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body>
    <w:p>
      <w:pPr>
        <w:jc w:val="both"/>
        <w:pBdr>
          <w:top w:val="none"/>
          <w:left w:val="none"/>
          <w:bottom w:val="none"/>
          <w:right w:val="none"/>
        </w:pBdr>
        <w:spacing w:line="240" w:lineRule="auto"/>
        <w:rPr>
          <w:rFonts w:ascii="함초롬바탕" w:eastAsia="함초롬바탕" w:hAnsi="함초롬바탕" w:cs="함초롬바탕" w:hint="default"/>
          <w:sz w:val="20"/>
          <w:spacing w:val="0"/>
        </w:rPr>
      </w:pPr>
    </w:p>
    <w:p>
      <w:pPr>
        <w:jc w:val="both"/>
        <w:pBdr>
          <w:top w:val="none"/>
          <w:left w:val="none"/>
          <w:bottom w:val="none"/>
          <w:right w:val="none"/>
        </w:pBdr>
        <w:spacing w:line="240" w:lineRule="auto"/>
        <w:rPr>
          <w:rFonts w:ascii="함초롬바탕" w:eastAsia="함초롬바탕" w:hAnsi="함초롬바탕" w:cs="함초롬바탕" w:hint="default"/>
          <w:sz w:val="20"/>
          <w:spacing w:val="0"/>
        </w:rPr>
      </w:pPr>
    </w:p>
    <w:p>
      <w:pPr>
        <w:jc w:val="both"/>
        <w:pBdr>
          <w:top w:val="none"/>
          <w:left w:val="none"/>
          <w:bottom w:val="none"/>
          <w:right w:val="none"/>
        </w:pBdr>
        <w:spacing w:line="240" w:lineRule="auto"/>
        <w:rPr>
          <w:rFonts w:ascii="함초롬바탕" w:eastAsia="함초롬바탕" w:hAnsi="함초롬바탕" w:cs="함초롬바탕" w:hint="default"/>
          <w:sz w:val="20"/>
          <w:spacing w:val="0"/>
        </w:rPr>
      </w:pPr>
    </w:p>
    <w:p>
      <w:pPr>
        <w:jc w:val="both"/>
        <w:pBdr>
          <w:top w:val="none"/>
          <w:left w:val="none"/>
          <w:bottom w:val="none"/>
          <w:right w:val="none"/>
        </w:pBdr>
        <w:spacing w:line="240" w:lineRule="auto"/>
        <w:rPr>
          <w:rFonts w:ascii="함초롬바탕" w:eastAsia="함초롬바탕" w:hAnsi="함초롬바탕" w:cs="함초롬바탕" w:hint="default"/>
          <w:sz w:val="20"/>
          <w:spacing w:val="0"/>
        </w:rPr>
      </w:pPr>
    </w:p>
    <w:p>
      <w:pPr>
        <w:jc w:val="both"/>
        <w:pBdr>
          <w:top w:val="none"/>
          <w:left w:val="none"/>
          <w:bottom w:val="none"/>
          <w:right w:val="none"/>
        </w:pBdr>
        <w:spacing w:line="240" w:lineRule="auto"/>
        <w:rPr>
          <w:rFonts w:ascii="함초롬바탕" w:eastAsia="함초롬바탕" w:hAnsi="함초롬바탕" w:cs="함초롬바탕" w:hint="default"/>
          <w:sz w:val="20"/>
          <w:spacing w:val="0"/>
        </w:rPr>
      </w:pPr>
    </w:p>
    <w:p>
      <w:pPr>
        <w:jc w:val="both"/>
        <w:pBdr>
          <w:top w:val="none"/>
          <w:left w:val="none"/>
          <w:bottom w:val="none"/>
          <w:right w:val="none"/>
        </w:pBdr>
        <w:spacing w:line="240" w:lineRule="auto"/>
        <w:rPr>
          <w:rFonts w:ascii="함초롬바탕" w:eastAsia="함초롬바탕" w:hAnsi="함초롬바탕" w:cs="함초롬바탕" w:hint="default"/>
          <w:sz w:val="20"/>
          <w:spacing w:val="0"/>
        </w:rPr>
      </w:pPr>
    </w:p>
    <w:p>
      <w:pPr>
        <w:jc w:val="both"/>
        <w:pBdr>
          <w:top w:val="none"/>
          <w:left w:val="none"/>
          <w:bottom w:val="none"/>
          <w:right w:val="none"/>
        </w:pBdr>
        <w:spacing w:line="240" w:lineRule="auto"/>
        <w:rPr>
          <w:rFonts w:ascii="함초롬바탕" w:eastAsia="함초롬바탕" w:hAnsi="함초롬바탕" w:cs="함초롬바탕" w:hint="default"/>
          <w:sz w:val="20"/>
          <w:spacing w:val="0"/>
        </w:rPr>
      </w:pPr>
    </w:p>
    <w:p>
      <w:pPr>
        <w:jc w:val="both"/>
        <w:pBdr>
          <w:top w:val="none"/>
          <w:left w:val="none"/>
          <w:bottom w:val="none"/>
          <w:right w:val="none"/>
        </w:pBdr>
        <w:spacing w:line="240" w:lineRule="auto"/>
        <w:rPr>
          <w:rFonts w:ascii="함초롬바탕" w:eastAsia="함초롬바탕" w:hAnsi="함초롬바탕" w:cs="함초롬바탕" w:hint="default"/>
          <w:sz w:val="20"/>
          <w:spacing w:val="0"/>
        </w:rPr>
      </w:pPr>
    </w:p>
    <w:p>
      <w:pPr>
        <w:jc w:val="both"/>
        <w:pBdr>
          <w:top w:val="none"/>
          <w:left w:val="none"/>
          <w:bottom w:val="none"/>
          <w:right w:val="none"/>
        </w:pBdr>
        <w:spacing w:line="240" w:lineRule="auto"/>
        <w:rPr>
          <w:rFonts w:ascii="함초롬바탕" w:eastAsia="함초롬바탕" w:hAnsi="함초롬바탕" w:cs="함초롬바탕" w:hint="default"/>
          <w:sz w:val="20"/>
          <w:spacing w:val="0"/>
        </w:rPr>
      </w:pPr>
    </w:p>
    <w:p>
      <w:pPr>
        <w:jc w:val="both"/>
        <w:pBdr>
          <w:top w:val="none"/>
          <w:left w:val="none"/>
          <w:bottom w:val="none"/>
          <w:right w:val="none"/>
        </w:pBdr>
        <w:spacing w:line="240" w:lineRule="auto"/>
        <w:rPr>
          <w:rFonts w:ascii="함초롬바탕" w:eastAsia="함초롬바탕" w:hAnsi="함초롬바탕" w:cs="함초롬바탕" w:hint="default"/>
          <w:sz w:val="20"/>
          <w:spacing w:val="0"/>
        </w:rPr>
      </w:pPr>
    </w:p>
    <w:p>
      <w:pPr>
        <w:jc w:val="both"/>
        <w:pBdr>
          <w:top w:val="none"/>
          <w:left w:val="none"/>
          <w:bottom w:val="none"/>
          <w:right w:val="none"/>
        </w:pBdr>
        <w:spacing w:line="240" w:lineRule="auto"/>
        <w:rPr>
          <w:rFonts w:ascii="NanumGothic" w:eastAsia="NanumGothic" w:hAnsi="NanumGothic" w:cs="NanumGothic" w:hint="default"/>
          <w:sz w:val="20"/>
          <w:spacing w:val="0"/>
        </w:rPr>
      </w:pPr>
    </w:p>
    <w:tbl>
      <w:tblPr>
        <w:tblStyle w:val="table_grid"/>
        <w:tblW w:w="9525" w:type="dxa"/>
        <w:tblLook w:val="04A0" w:firstRow="1" w:lastRow="0" w:firstColumn="1" w:lastColumn="0" w:noHBand="0" w:noVBand="1"/>
        <w:tblLayout w:type="fixed"/>
      </w:tblPr>
      <w:tblGrid>
        <w:gridCol w:w="9525"/>
      </w:tblGrid>
      <w:tr>
        <w:trPr>
          <w:trHeight w:val="1425" w:hRule="atLeast"/>
        </w:trPr>
        <w:tc>
          <w:tcPr>
            <w:tcW w:w="9525" w:type="dxa"/>
            <w:tcBorders>
              <w:top w:val="single" w:sz="9" w:space="0" w:color="000000"/>
              <w:left w:val="single" w:sz="9" w:space="0" w:color="000000"/>
              <w:bottom w:val="single" w:sz="9" w:space="0" w:color="000000"/>
              <w:right w:val="single" w:sz="9" w:space="0" w:color="000000"/>
            </w:tcBorders>
            <w:tcMar>
              <w:top w:w="28" w:type="dxa"/>
              <w:left w:w="102" w:type="dxa"/>
              <w:bottom w:w="28" w:type="dxa"/>
              <w:right w:w="102" w:type="dxa"/>
            </w:tcMar>
          </w:tcPr>
          <w:p>
            <w:pPr>
              <w:jc w:val="center"/>
              <w:pBdr>
                <w:top w:val="none"/>
                <w:left w:val="none"/>
                <w:bottom w:val="none"/>
                <w:right w:val="none"/>
              </w:pBdr>
            </w:pPr>
            <w:r>
              <w:rPr>
                <w:rFonts w:ascii="맑은 고딕" w:eastAsia="맑은 고딕" w:hAnsi="맑은 고딕" w:cs="맑은 고딕" w:hint="default"/>
                <w:b/>
                <w:sz w:val="80"/>
              </w:rPr>
              <w:t>데이터 분석 정의서</w:t>
            </w:r>
          </w:p>
        </w:tc>
      </w:tr>
    </w:tbl>
    <w:p>
      <w:pPr>
        <w:jc w:val="both"/>
        <w:pBdr>
          <w:top w:val="none"/>
          <w:left w:val="none"/>
          <w:bottom w:val="none"/>
          <w:right w:val="none"/>
        </w:pBdr>
        <w:spacing w:line="240" w:lineRule="auto"/>
        <w:rPr>
          <w:rFonts w:ascii="함초롬바탕" w:eastAsia="함초롬바탕" w:hAnsi="함초롬바탕" w:cs="함초롬바탕" w:hint="default"/>
          <w:sz w:val="20"/>
          <w:spacing w:val="0"/>
        </w:rPr>
      </w:pPr>
    </w:p>
    <w:p>
      <w:pPr>
        <w:jc w:val="both"/>
        <w:pBdr>
          <w:top w:val="none"/>
          <w:left w:val="none"/>
          <w:bottom w:val="none"/>
          <w:right w:val="none"/>
        </w:pBdr>
        <w:spacing w:line="240" w:lineRule="auto"/>
        <w:rPr>
          <w:rFonts w:ascii="함초롬바탕" w:eastAsia="함초롬바탕" w:hAnsi="함초롬바탕" w:cs="함초롬바탕" w:hint="default"/>
          <w:sz w:val="20"/>
          <w:spacing w:val="0"/>
        </w:rPr>
      </w:pPr>
    </w:p>
    <w:p>
      <w:pPr>
        <w:jc w:val="both"/>
        <w:pBdr>
          <w:top w:val="none"/>
          <w:left w:val="none"/>
          <w:bottom w:val="none"/>
          <w:right w:val="none"/>
        </w:pBdr>
        <w:spacing w:line="240" w:lineRule="auto"/>
        <w:rPr>
          <w:rFonts w:ascii="함초롬바탕" w:eastAsia="함초롬바탕" w:hAnsi="함초롬바탕" w:cs="함초롬바탕" w:hint="default"/>
          <w:sz w:val="20"/>
          <w:spacing w:val="0"/>
        </w:rPr>
      </w:pPr>
    </w:p>
    <w:p>
      <w:pPr>
        <w:jc w:val="both"/>
        <w:pBdr>
          <w:top w:val="none"/>
          <w:left w:val="none"/>
          <w:bottom w:val="none"/>
          <w:right w:val="none"/>
        </w:pBdr>
        <w:spacing w:line="240" w:lineRule="auto"/>
        <w:rPr>
          <w:rFonts w:ascii="함초롬바탕" w:eastAsia="함초롬바탕" w:hAnsi="함초롬바탕" w:cs="함초롬바탕" w:hint="default"/>
          <w:sz w:val="20"/>
          <w:spacing w:val="0"/>
        </w:rPr>
      </w:pPr>
    </w:p>
    <w:p>
      <w:pPr>
        <w:jc w:val="both"/>
        <w:pBdr>
          <w:top w:val="none"/>
          <w:left w:val="none"/>
          <w:bottom w:val="none"/>
          <w:right w:val="none"/>
        </w:pBdr>
        <w:spacing w:line="240" w:lineRule="auto"/>
        <w:rPr>
          <w:rFonts w:ascii="함초롬바탕" w:eastAsia="함초롬바탕" w:hAnsi="함초롬바탕" w:cs="함초롬바탕" w:hint="default"/>
          <w:sz w:val="20"/>
          <w:spacing w:val="0"/>
        </w:rPr>
      </w:pPr>
    </w:p>
    <w:p>
      <w:pPr>
        <w:jc w:val="both"/>
        <w:pBdr>
          <w:top w:val="none"/>
          <w:left w:val="none"/>
          <w:bottom w:val="none"/>
          <w:right w:val="none"/>
        </w:pBdr>
        <w:spacing w:line="240" w:lineRule="auto"/>
        <w:rPr>
          <w:rFonts w:ascii="함초롬바탕" w:eastAsia="함초롬바탕" w:hAnsi="함초롬바탕" w:cs="함초롬바탕" w:hint="default"/>
          <w:sz w:val="20"/>
          <w:spacing w:val="0"/>
        </w:rPr>
      </w:pPr>
    </w:p>
    <w:p>
      <w:pPr>
        <w:jc w:val="both"/>
        <w:pBdr>
          <w:top w:val="none"/>
          <w:left w:val="none"/>
          <w:bottom w:val="none"/>
          <w:right w:val="none"/>
        </w:pBdr>
        <w:spacing w:line="240" w:lineRule="auto"/>
        <w:rPr>
          <w:rFonts w:ascii="함초롬바탕" w:eastAsia="함초롬바탕" w:hAnsi="함초롬바탕" w:cs="함초롬바탕" w:hint="default"/>
          <w:sz w:val="20"/>
          <w:spacing w:val="0"/>
        </w:rPr>
      </w:pPr>
    </w:p>
    <w:p>
      <w:pPr>
        <w:jc w:val="both"/>
        <w:pBdr>
          <w:top w:val="none"/>
          <w:left w:val="none"/>
          <w:bottom w:val="none"/>
          <w:right w:val="none"/>
        </w:pBdr>
        <w:spacing w:line="240" w:lineRule="auto"/>
        <w:rPr>
          <w:rFonts w:ascii="함초롬바탕" w:eastAsia="함초롬바탕" w:hAnsi="함초롬바탕" w:cs="함초롬바탕" w:hint="default"/>
          <w:sz w:val="20"/>
          <w:spacing w:val="0"/>
        </w:rPr>
      </w:pPr>
    </w:p>
    <w:p>
      <w:pPr>
        <w:jc w:val="both"/>
        <w:pBdr>
          <w:top w:val="none"/>
          <w:left w:val="none"/>
          <w:bottom w:val="none"/>
          <w:right w:val="none"/>
        </w:pBdr>
        <w:spacing w:line="240" w:lineRule="auto"/>
        <w:rPr>
          <w:rFonts w:ascii="함초롬바탕" w:eastAsia="함초롬바탕" w:hAnsi="함초롬바탕" w:cs="함초롬바탕" w:hint="default"/>
          <w:sz w:val="20"/>
          <w:spacing w:val="0"/>
        </w:rPr>
      </w:pPr>
    </w:p>
    <w:p>
      <w:pPr>
        <w:jc w:val="both"/>
        <w:pBdr>
          <w:top w:val="none"/>
          <w:left w:val="none"/>
          <w:bottom w:val="none"/>
          <w:right w:val="none"/>
        </w:pBdr>
        <w:spacing w:line="240" w:lineRule="auto"/>
        <w:rPr>
          <w:rFonts w:ascii="함초롬바탕" w:eastAsia="함초롬바탕" w:hAnsi="함초롬바탕" w:cs="함초롬바탕" w:hint="default"/>
          <w:sz w:val="20"/>
          <w:spacing w:val="0"/>
        </w:rPr>
      </w:pPr>
    </w:p>
    <w:p>
      <w:pPr>
        <w:jc w:val="both"/>
        <w:pBdr>
          <w:top w:val="none"/>
          <w:left w:val="none"/>
          <w:bottom w:val="none"/>
          <w:right w:val="none"/>
        </w:pBdr>
        <w:spacing w:line="240" w:lineRule="auto"/>
        <w:rPr>
          <w:rFonts w:ascii="함초롬바탕" w:eastAsia="함초롬바탕" w:hAnsi="함초롬바탕" w:cs="함초롬바탕" w:hint="default"/>
          <w:sz w:val="20"/>
          <w:spacing w:val="0"/>
        </w:rPr>
      </w:pPr>
    </w:p>
    <w:p>
      <w:pPr>
        <w:jc w:val="both"/>
        <w:pBdr>
          <w:top w:val="none"/>
          <w:left w:val="none"/>
          <w:bottom w:val="none"/>
          <w:right w:val="none"/>
        </w:pBdr>
        <w:spacing w:line="240" w:lineRule="auto"/>
        <w:rPr>
          <w:rFonts w:ascii="함초롬바탕" w:eastAsia="함초롬바탕" w:hAnsi="함초롬바탕" w:cs="함초롬바탕" w:hint="default"/>
          <w:sz w:val="20"/>
          <w:spacing w:val="0"/>
        </w:rPr>
      </w:pPr>
    </w:p>
    <w:p>
      <w:pPr>
        <w:jc w:val="center"/>
        <w:pBdr>
          <w:top w:val="none"/>
          <w:left w:val="none"/>
          <w:bottom w:val="none"/>
          <w:right w:val="none"/>
        </w:pBdr>
        <w:spacing w:line="240" w:lineRule="auto"/>
        <w:rPr>
          <w:sz w:val="20"/>
          <w:spacing w:val="0"/>
        </w:rPr>
      </w:pPr>
      <w:r>
        <w:rPr>
          <w:rFonts w:ascii="맑은 고딕" w:eastAsia="맑은 고딕" w:hAnsi="맑은 고딕" w:cs="맑은 고딕" w:hint="default"/>
          <w:b/>
          <w:sz w:val="32"/>
          <w:spacing w:val="0"/>
        </w:rPr>
        <w:t>2026.07.23</w:t>
      </w:r>
    </w:p>
    <w:p>
      <w:pPr>
        <w:jc w:val="both"/>
        <w:pBdr>
          <w:top w:val="none"/>
          <w:left w:val="none"/>
          <w:bottom w:val="none"/>
          <w:right w:val="none"/>
        </w:pBdr>
        <w:spacing w:line="240" w:lineRule="auto"/>
        <w:rPr>
          <w:rFonts w:ascii="함초롬바탕" w:eastAsia="함초롬바탕" w:hAnsi="함초롬바탕" w:cs="함초롬바탕" w:hint="default"/>
          <w:sz w:val="20"/>
          <w:spacing w:val="0"/>
        </w:rPr>
      </w:pPr>
    </w:p>
    <w:p>
      <w:pPr>
        <w:jc w:val="both"/>
        <w:pBdr>
          <w:top w:val="none"/>
          <w:left w:val="none"/>
          <w:bottom w:val="none"/>
          <w:right w:val="none"/>
        </w:pBdr>
        <w:spacing w:line="240" w:lineRule="auto"/>
        <w:rPr>
          <w:rFonts w:ascii="함초롬바탕" w:eastAsia="함초롬바탕" w:hAnsi="함초롬바탕" w:cs="함초롬바탕" w:hint="default"/>
          <w:sz w:val="20"/>
          <w:spacing w:val="0"/>
        </w:rPr>
      </w:pPr>
    </w:p>
    <w:p>
      <w:pPr>
        <w:spacing w:line="259" w:lineRule="auto"/>
        <w:rPr>
          <w:rFonts w:ascii="함초롬바탕" w:eastAsia="함초롬바탕" w:hAnsi="함초롬바탕" w:cs="함초롬바탕" w:hint="default"/>
        </w:rPr>
      </w:pPr>
    </w:p>
    <w:p>
      <w:pPr>
        <w:spacing w:line="259" w:lineRule="auto"/>
        <w:rPr>
          <w:rFonts w:ascii="함초롬바탕" w:eastAsia="함초롬바탕" w:hAnsi="함초롬바탕" w:cs="함초롬바탕" w:hint="default"/>
        </w:rPr>
      </w:pPr>
    </w:p>
    <w:p>
      <w:pPr>
        <w:spacing w:line="259" w:lineRule="auto"/>
        <w:rPr>
          <w:rFonts w:ascii="함초롬바탕" w:eastAsia="함초롬바탕" w:hAnsi="함초롬바탕" w:cs="함초롬바탕" w:hint="default"/>
        </w:rPr>
      </w:pPr>
    </w:p>
    <w:p>
      <w:pPr>
        <w:spacing w:line="259" w:lineRule="auto"/>
        <w:rPr>
          <w:rFonts w:ascii="함초롬바탕" w:eastAsia="함초롬바탕" w:hAnsi="함초롬바탕" w:cs="함초롬바탕" w:hint="default"/>
        </w:rPr>
      </w:pPr>
    </w:p>
    <w:p>
      <w:pPr>
        <w:spacing w:line="259" w:lineRule="auto"/>
        <w:rPr>
          <w:rFonts w:ascii="함초롬바탕" w:eastAsia="함초롬바탕" w:hAnsi="함초롬바탕" w:cs="함초롬바탕" w:hint="default"/>
        </w:rPr>
      </w:pPr>
    </w:p>
    <w:p>
      <w:pPr>
        <w:spacing w:line="259" w:lineRule="auto"/>
        <w:rPr>
          <w:rFonts w:ascii="함초롬바탕" w:eastAsia="함초롬바탕" w:hAnsi="함초롬바탕" w:cs="함초롬바탕" w:hint="default"/>
        </w:rPr>
      </w:pPr>
    </w:p>
    <w:p>
      <w:pPr>
        <w:spacing w:line="259" w:lineRule="auto"/>
        <w:rPr>
          <w:rFonts w:ascii="함초롬바탕" w:eastAsia="함초롬바탕" w:hAnsi="함초롬바탕" w:cs="함초롬바탕" w:hint="default"/>
        </w:rPr>
      </w:pPr>
    </w:p>
    <w:p>
      <w:pPr>
        <w:spacing w:line="259" w:lineRule="auto"/>
        <w:rPr>
          <w:rFonts w:ascii="함초롬바탕" w:eastAsia="함초롬바탕" w:hAnsi="함초롬바탕" w:cs="함초롬바탕" w:hint="default"/>
        </w:rPr>
      </w:pPr>
    </w:p>
    <w:p>
      <w:pPr>
        <w:spacing w:line="259" w:lineRule="auto"/>
        <w:rPr>
          <w:rFonts w:ascii="함초롬바탕" w:eastAsia="함초롬바탕" w:hAnsi="함초롬바탕" w:cs="함초롬바탕" w:hint="default"/>
        </w:rPr>
      </w:pPr>
    </w:p>
    <w:p>
      <w:pPr>
        <w:spacing w:line="259" w:lineRule="auto"/>
        <w:rPr>
          <w:rFonts w:ascii="함초롬바탕" w:eastAsia="함초롬바탕" w:hAnsi="함초롬바탕" w:cs="함초롬바탕" w:hint="default"/>
        </w:rPr>
      </w:pPr>
    </w:p>
    <w:p>
      <w:pPr>
        <w:spacing w:line="259" w:lineRule="auto"/>
        <w:rPr>
          <w:rFonts w:ascii="함초롬바탕" w:eastAsia="함초롬바탕" w:hAnsi="함초롬바탕" w:cs="함초롬바탕" w:hint="default"/>
        </w:rPr>
      </w:pPr>
    </w:p>
    <w:p>
      <w:pPr>
        <w:jc w:val="both"/>
        <w:pBdr>
          <w:top w:val="none"/>
          <w:left w:val="none"/>
          <w:bottom w:val="none"/>
          <w:right w:val="none"/>
        </w:pBdr>
        <w:spacing w:line="240" w:lineRule="auto"/>
        <w:rPr>
          <w:sz w:val="20"/>
          <w:spacing w:val="0"/>
        </w:rPr>
      </w:pPr>
      <w:r>
        <w:rPr>
          <w:rFonts w:ascii="맑은 고딕" w:eastAsia="맑은 고딕" w:hAnsi="맑은 고딕" w:cs="맑은 고딕" w:hint="default"/>
          <w:b/>
          <w:sz w:val="30"/>
          <w:spacing w:val="0"/>
        </w:rPr>
        <w:t>1. 개요</w:t>
      </w:r>
    </w:p>
    <w:p>
      <w:pPr>
        <w:jc w:val="both"/>
        <w:pBdr>
          <w:top w:val="none"/>
          <w:left w:val="none"/>
          <w:bottom w:val="none"/>
          <w:right w:val="none"/>
        </w:pBdr>
        <w:spacing w:line="240" w:lineRule="auto"/>
        <w:rPr>
          <w:rFonts w:ascii="함초롬바탕" w:eastAsia="함초롬바탕" w:hAnsi="함초롬바탕" w:cs="함초롬바탕" w:hint="default"/>
          <w:sz w:val="20"/>
          <w:spacing w:val="0"/>
        </w:rPr>
      </w:pPr>
      <w:r>
        <w:rPr>
          <w:rFonts w:ascii="NanumGothic" w:eastAsia="NanumGothic" w:hAnsi="NanumGothic" w:cs="NanumGothic" w:hint="default"/>
          <w:sz w:val="24"/>
          <w:spacing w:val="0"/>
        </w:rPr>
        <w:t xml:space="preserve"> 1. 주제</w:t>
      </w:r>
    </w:p>
    <w:p>
      <w:pPr>
        <w:jc w:val="both"/>
        <w:pBdr>
          <w:top w:val="none"/>
          <w:left w:val="none"/>
          <w:bottom w:val="none"/>
          <w:right w:val="none"/>
        </w:pBdr>
        <w:spacing w:line="240" w:lineRule="auto"/>
        <w:rPr>
          <w:rFonts w:ascii="함초롬바탕" w:eastAsia="함초롬바탕" w:hAnsi="함초롬바탕" w:cs="함초롬바탕" w:hint="default"/>
          <w:sz w:val="24"/>
          <w:spacing w:val="0"/>
        </w:rPr>
      </w:pPr>
      <w:r>
        <w:t xml:space="preserve">    : 상상대로 서울 시민 제안(824건) + 국민신문고 실시간 현장 민원(582건) + 몽땅정보통 서울시 공식 사업(322건) + 네이버 뉴스(1,145건) + 자치구 통계 Multi-API 융합 기반 8대 대분류 정밀 분류 및 R&amp;R 부서 1·2·3순위 라우팅 의사결정 모델 설계</w:t>
      </w:r>
    </w:p>
    <w:p>
      <w:pPr>
        <w:jc w:val="both"/>
        <w:pBdr>
          <w:top w:val="none"/>
          <w:left w:val="none"/>
          <w:bottom w:val="none"/>
          <w:right w:val="none"/>
        </w:pBdr>
        <w:spacing w:line="240" w:lineRule="auto"/>
        <w:rPr>
          <w:rFonts w:ascii="함초롬바탕" w:eastAsia="함초롬바탕" w:hAnsi="함초롬바탕" w:cs="함초롬바탕" w:hint="default"/>
          <w:sz w:val="20"/>
          <w:spacing w:val="0"/>
        </w:rPr>
      </w:pPr>
      <w:r>
        <w:rPr>
          <w:rFonts w:ascii="NanumGothic" w:eastAsia="NanumGothic" w:hAnsi="NanumGothic" w:cs="NanumGothic" w:hint="default"/>
          <w:sz w:val="24"/>
          <w:spacing w:val="0"/>
        </w:rPr>
        <w:t xml:space="preserve"> 2. 개발 목표</w:t>
      </w:r>
    </w:p>
    <w:p>
      <w:pPr>
        <w:jc w:val="both"/>
        <w:pBdr>
          <w:top w:val="none"/>
          <w:left w:val="none"/>
          <w:bottom w:val="none"/>
          <w:right w:val="none"/>
        </w:pBdr>
        <w:spacing w:line="240" w:lineRule="auto"/>
        <w:rPr>
          <w:rFonts w:ascii="함초롬바탕" w:eastAsia="함초롬바탕" w:hAnsi="함초롬바탕" w:cs="함초롬바탕" w:hint="default"/>
          <w:sz w:val="20"/>
          <w:spacing w:val="0"/>
        </w:rPr>
      </w:pPr>
      <w:r>
        <w:rPr>
          <w:rFonts w:ascii="NanumGothic" w:eastAsia="NanumGothic" w:hAnsi="NanumGothic" w:cs="NanumGothic" w:hint="default"/>
          <w:sz w:val="24"/>
          <w:spacing w:val="0"/>
        </w:rPr>
        <w:t xml:space="preserve">    : </w:t>
      </w:r>
      <w:r>
        <w:rPr>
          <w:rFonts w:ascii="함초롬바탕" w:eastAsia="함초롬바탕" w:hAnsi="함초롬바탕" w:cs="함초롬바탕" w:hint="default"/>
          <w:sz w:val="24"/>
          <w:spacing w:val="0"/>
        </w:rPr>
        <w:t>흩어져 있는 자치구별 출산 통계(출생아수, 합계출산율), 보육시설 인프라 현황, 비정형 시민 정책 제안 텍스트, 실시간 민원 데이터를 하나의 대시보드에 결합 및 융합한다. 이를 통해 정책 담당자가 정책 공급 공백(Gap)을 데이터 기반으로 즉시 발견하고, R&amp;R 주관 부서 자동 라우팅 및 1클릭 일괄 답변(Batch Reply) 공문 생성을 통해 행정 효율성을 단축시키는 실무 지원 시스템을 구축한다.</w:t>
      </w:r>
    </w:p>
    <w:p>
      <w:pPr>
        <w:jc w:val="both"/>
        <w:pBdr>
          <w:top w:val="none"/>
          <w:left w:val="none"/>
          <w:bottom w:val="none"/>
          <w:right w:val="none"/>
        </w:pBdr>
        <w:spacing w:line="240" w:lineRule="auto"/>
        <w:rPr>
          <w:rFonts w:ascii="함초롬바탕" w:eastAsia="함초롬바탕" w:hAnsi="함초롬바탕" w:cs="함초롬바탕" w:hint="default"/>
          <w:sz w:val="20"/>
          <w:spacing w:val="0"/>
        </w:rPr>
      </w:pPr>
      <w:r>
        <w:rPr>
          <w:rFonts w:ascii="NanumGothic" w:eastAsia="NanumGothic" w:hAnsi="NanumGothic" w:cs="NanumGothic" w:hint="default"/>
          <w:sz w:val="24"/>
          <w:spacing w:val="0"/>
        </w:rPr>
        <w:t xml:space="preserve"> 3. 개발 내용</w:t>
      </w:r>
    </w:p>
    <w:p>
      <w:pPr>
        <w:ind w:leftChars="100" w:left="200"/>
        <w:jc w:val="both"/>
        <w:pBdr>
          <w:top w:val="none"/>
          <w:left w:val="none"/>
          <w:bottom w:val="none"/>
          <w:right w:val="none"/>
        </w:pBdr>
        <w:spacing w:after="140" w:before="0" w:line="300" w:lineRule="auto"/>
        <w:rPr>
          <w:rFonts w:ascii="함초롬바탕" w:eastAsia="함초롬바탕" w:hAnsi="함초롬바탕" w:cs="함초롬바탕" w:hint="default"/>
          <w:sz w:val="24"/>
          <w:spacing w:val="0"/>
        </w:rPr>
      </w:pPr>
      <w:r>
        <w:rPr>
          <w:rFonts w:ascii="NanumGothic" w:eastAsia="NanumGothic" w:hAnsi="NanumGothic" w:cs="NanumGothic" w:hint="default"/>
          <w:sz w:val="24"/>
          <w:spacing w:val="0"/>
        </w:rPr>
        <w:t xml:space="preserve">    : </w:t>
      </w:r>
      <w:r>
        <w:rPr>
          <w:rFonts w:ascii="맑은 고딕" w:eastAsia="맑은 고딕" w:hAnsi="맑은 고딕" w:cs="맑은 고딕" w:hint="default"/>
          <w:b/>
          <w:sz w:val="24"/>
          <w:spacing w:val="0"/>
        </w:rPr>
        <w:t xml:space="preserve"> </w:t>
      </w:r>
      <w:r>
        <w:rPr>
          <w:rFonts w:ascii="맑은 고딕" w:eastAsia="맑은 고딕" w:hAnsi="맑은 고딕" w:cs="맑은 고딕" w:hint="default"/>
          <w:sz w:val="24"/>
          <w:spacing w:val="0"/>
        </w:rPr>
        <w:t>핵심 데이터 분석 프레임워크는 다음 2가지 실증 관점으로 구성된다.</w:t>
      </w:r>
    </w:p>
    <w:p>
      <w:pPr>
        <w:ind w:leftChars="202" w:left="404"/>
        <w:pBdr>
          <w:top w:val="none"/>
          <w:left w:val="none"/>
          <w:bottom w:val="none"/>
          <w:right w:val="none"/>
        </w:pBdr>
        <w:spacing w:after="80" w:before="0" w:line="280" w:lineRule="auto"/>
        <w:rPr>
          <w:sz w:val="24"/>
          <w:spacing w:val="0"/>
        </w:rPr>
      </w:pPr>
      <w:r>
        <w:rPr>
          <w:rFonts w:ascii="맑은 고딕" w:eastAsia="맑은 고딕" w:hAnsi="맑은 고딕" w:cs="맑은 고딕" w:hint="default"/>
          <w:sz w:val="24"/>
          <w:spacing w:val="0"/>
        </w:rPr>
        <w:t>[수요 vs 공급 불균형 프레임] 시민이 로그인 후 의견을 제출하는 고마찰(High Friction) 제안 수치(수요)와 현행 몽땅정보통 322개 정책 수(공급) 간의 카테고리별 수급 불균형 비율을 '시민 체감 정책 공백 지수'로 정의.</w:t>
      </w:r>
    </w:p>
    <w:p>
      <w:pPr>
        <w:ind w:leftChars="202" w:left="404"/>
        <w:pBdr>
          <w:top w:val="none"/>
          <w:left w:val="none"/>
          <w:bottom w:val="none"/>
          <w:right w:val="none"/>
        </w:pBdr>
        <w:spacing w:after="80" w:before="0" w:line="280" w:lineRule="auto"/>
        <w:rPr>
          <w:sz w:val="24"/>
          <w:spacing w:val="0"/>
        </w:rPr>
      </w:pPr>
      <w:r>
        <w:rPr>
          <w:rFonts w:ascii="맑은 고딕" w:eastAsia="맑은 고딕" w:hAnsi="맑은 고딕" w:cs="맑은 고딕" w:hint="default"/>
          <w:sz w:val="24"/>
          <w:spacing w:val="0"/>
        </w:rPr>
        <w:t>[행정 답변 불균형 실증 관측] 공감 722건+댓글 470건이 달린 제안(서울의료원 공공난임센터 반대)은 부서 답변이 부재한 반면, 공감 4건짜리 질문(어린이집 입학연기)은 답변이 완료되는 등 부서별·담당자별 답변 기준 미비 실태를 규명하고, [미답변 모아보기] 및 [1클릭 일괄 답변 기안] 시스템으로 해소하도록 설계.</w:t>
      </w:r>
    </w:p>
    <w:p>
      <w:pPr>
        <w:jc w:val="both"/>
        <w:pBdr>
          <w:top w:val="none"/>
          <w:left w:val="none"/>
          <w:bottom w:val="none"/>
          <w:right w:val="none"/>
        </w:pBdr>
        <w:spacing w:line="240" w:lineRule="auto"/>
        <w:rPr>
          <w:rFonts w:ascii="함초롬바탕" w:eastAsia="함초롬바탕" w:hAnsi="함초롬바탕" w:cs="함초롬바탕" w:hint="default"/>
          <w:sz w:val="20"/>
          <w:spacing w:val="0"/>
        </w:rPr>
      </w:pPr>
    </w:p>
    <w:p>
      <w:pPr>
        <w:jc w:val="both"/>
        <w:pBdr>
          <w:top w:val="none"/>
          <w:left w:val="none"/>
          <w:bottom w:val="none"/>
          <w:right w:val="none"/>
        </w:pBdr>
        <w:spacing w:line="240" w:lineRule="auto"/>
        <w:rPr>
          <w:rFonts w:ascii="함초롬바탕" w:eastAsia="함초롬바탕" w:hAnsi="함초롬바탕" w:cs="함초롬바탕" w:hint="default"/>
          <w:sz w:val="20"/>
          <w:spacing w:val="0"/>
        </w:rPr>
      </w:pPr>
      <w:r>
        <w:rPr>
          <w:rFonts w:ascii="NanumGothic" w:eastAsia="NanumGothic" w:hAnsi="NanumGothic" w:cs="NanumGothic" w:hint="default"/>
          <w:sz w:val="24"/>
          <w:spacing w:val="0"/>
        </w:rPr>
        <w:t xml:space="preserve"> 4. KPI 가설</w:t>
      </w:r>
    </w:p>
    <w:p>
      <w:pPr>
        <w:ind w:leftChars="100" w:left="200"/>
        <w:jc w:val="both"/>
        <w:pBdr>
          <w:top w:val="none"/>
          <w:left w:val="none"/>
          <w:bottom w:val="none"/>
          <w:right w:val="none"/>
        </w:pBdr>
        <w:spacing w:after="140" w:before="0" w:line="300" w:lineRule="auto"/>
        <w:rPr>
          <w:rFonts w:ascii="함초롬바탕" w:eastAsia="함초롬바탕" w:hAnsi="함초롬바탕" w:cs="함초롬바탕" w:hint="default"/>
          <w:sz w:val="24"/>
          <w:spacing w:val="0"/>
        </w:rPr>
      </w:pPr>
      <w:r>
        <w:rPr>
          <w:rFonts w:ascii="NanumGothic" w:eastAsia="NanumGothic" w:hAnsi="NanumGothic" w:cs="NanumGothic" w:hint="default"/>
          <w:sz w:val="24"/>
          <w:spacing w:val="0"/>
        </w:rPr>
        <w:t xml:space="preserve">    : </w:t>
      </w:r>
      <w:r>
        <w:rPr>
          <w:rFonts w:ascii="맑은 고딕" w:eastAsia="맑은 고딕" w:hAnsi="맑은 고딕" w:cs="맑은 고딕" w:hint="default"/>
          <w:sz w:val="24"/>
          <w:spacing w:val="0"/>
        </w:rPr>
        <w:t>정책 우선순위 점수(시민 요구 강도·정책 공급 공백·사회적 시급성·행정 실행 가능성·AI 분석 신뢰도의 가중합, 3장 참조)가 높은 군집일수록 실제 정책 공백(미해결·미커버 비율)이 크고 행정 조치 시급성이 높을 것이라는 가설을 세우고, 6대 학술 선행 연구(2장)에 근거해 3가지 가중치 방법론(기본/박미경2022/KICCE2023)으로 검증한다.</w:t>
      </w:r>
    </w:p>
    <w:p>
      <w:pPr>
        <w:jc w:val="both"/>
        <w:pBdr>
          <w:top w:val="none"/>
          <w:left w:val="none"/>
          <w:bottom w:val="none"/>
          <w:right w:val="none"/>
        </w:pBdr>
        <w:spacing w:line="240" w:lineRule="auto"/>
        <w:rPr>
          <w:rFonts w:ascii="함초롬바탕" w:eastAsia="함초롬바탕" w:hAnsi="함초롬바탕" w:cs="함초롬바탕" w:hint="default"/>
          <w:sz w:val="20"/>
          <w:spacing w:val="0"/>
        </w:rPr>
      </w:pPr>
    </w:p>
    <w:p>
      <w:pPr>
        <w:jc w:val="both"/>
        <w:pBdr>
          <w:top w:val="none"/>
          <w:left w:val="none"/>
          <w:bottom w:val="none"/>
          <w:right w:val="none"/>
        </w:pBdr>
        <w:spacing w:line="240" w:lineRule="auto"/>
        <w:rPr>
          <w:rFonts w:ascii="함초롬바탕" w:eastAsia="함초롬바탕" w:hAnsi="함초롬바탕" w:cs="함초롬바탕" w:hint="default"/>
          <w:sz w:val="20"/>
          <w:spacing w:val="0"/>
        </w:rPr>
      </w:pPr>
    </w:p>
    <w:p>
      <w:pPr>
        <w:ind w:leftChars="100" w:left="200"/>
        <w:spacing w:after="140"/>
      </w:pPr>
    </w:p>
    <w:p>
      <w:pPr>
        <w:ind w:leftChars="100" w:left="200"/>
        <w:spacing w:after="140"/>
      </w:pPr>
    </w:p>
    <w:p>
      <w:pPr>
        <w:ind w:leftChars="100" w:left="200"/>
        <w:spacing w:after="140"/>
      </w:pPr>
    </w:p>
    <w:p>
      <w:pPr>
        <w:ind w:leftChars="100" w:left="200"/>
        <w:spacing w:after="140"/>
      </w:pPr>
    </w:p>
    <w:p>
      <w:pPr>
        <w:spacing w:after="160" w:before="360"/>
      </w:pPr>
      <w:r>
        <w:rPr>
          <w:rFonts w:ascii="맑은 고딕" w:eastAsia="맑은 고딕" w:hAnsi="맑은 고딕" w:cs="맑은 고딕"/>
          <w:b/>
          <w:bCs/>
          <w:sz w:val="26"/>
          <w:szCs w:val="26"/>
        </w:rPr>
        <w:t>2. EDA 명세서</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7800"/>
      </w:tblGrid>
      <w:tr>
        <w:tc>
          <w:tcPr>
            <w:tcW w:w="2000" w:type="dxa"/>
            <w:tcBorders>
              <w:top w:val="single" w:sz="4" w:space="0" w:color="000000"/>
              <w:left w:val="single" w:sz="4" w:space="0" w:color="000000"/>
              <w:bottom w:val="single" w:sz="4" w:space="0" w:color="000000"/>
              <w:right w:val="single" w:sz="4" w:space="0" w:color="000000"/>
            </w:tcBorders>
            <w:shd w:val="clear" w:color="auto" w:fill="D9D9D9"/>
            <w:tcMar>
              <w:top w:w="100" w:type="dxa"/>
              <w:left w:w="120" w:type="dxa"/>
              <w:bottom w:w="100" w:type="dxa"/>
              <w:right w:w="120" w:type="dxa"/>
            </w:tcMar>
            <w:vAlign w:val="center"/>
          </w:tcPr>
          <w:p>
            <w:pPr>
              <w:jc w:val="center"/>
            </w:pPr>
            <w:r>
              <w:rPr>
                <w:rFonts w:ascii="맑은 고딕" w:eastAsia="맑은 고딕" w:hAnsi="맑은 고딕" w:cs="맑은 고딕"/>
                <w:b/>
                <w:bCs/>
                <w:sz w:val="20"/>
                <w:szCs w:val="20"/>
              </w:rPr>
              <w:t>목표 및 목적</w:t>
            </w:r>
          </w:p>
        </w:tc>
        <w:tc>
          <w:tcPr>
            <w:tcW w:w="7800" w:type="dxa"/>
            <w:tcBorders>
              <w:top w:val="single" w:sz="4" w:space="0" w:color="000000"/>
              <w:left w:val="single" w:sz="4" w:space="0" w:color="000000"/>
              <w:bottom w:val="single" w:sz="4" w:space="0" w:color="000000"/>
              <w:right w:val="single" w:sz="4" w:space="0" w:color="000000"/>
            </w:tcBorders>
            <w:tcMar>
              <w:top w:w="100" w:type="dxa"/>
              <w:left w:w="140" w:type="dxa"/>
              <w:bottom w:w="100" w:type="dxa"/>
              <w:right w:w="140" w:type="dxa"/>
            </w:tcMar>
            <w:vAlign w:val="center"/>
          </w:tcPr>
          <w:p>
            <w:pPr>
              <w:spacing w:after="80" w:line="280"/>
            </w:pPr>
            <w:r>
              <w:rPr>
                <w:rFonts w:ascii="맑은 고딕" w:eastAsia="맑은 고딕" w:hAnsi="맑은 고딕" w:cs="맑은 고딕"/>
                <w:sz w:val="20"/>
                <w:szCs w:val="20"/>
              </w:rPr>
              <w:t>정책 공급 공백(Gap)을 데이터 기반으로 즉시 발견하고, 자치구별·카테고리별 시민 수요와 정책 공급 간 불균형을 정량화하기 위한 8대 대분류 탐색적 데이터 분석.</w:t>
            </w:r>
          </w:p>
        </w:tc>
      </w:tr>
      <w:tr>
        <w:tc>
          <w:tcPr>
            <w:gridSpan w:val="2"/>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r>
              <w:rPr>
                <w:rFonts w:ascii="맑은 고딕" w:eastAsia="맑은 고딕" w:hAnsi="맑은 고딕" w:cs="맑은 고딕"/>
                <w:b/>
                <w:bCs/>
                <w:sz w:val="20"/>
                <w:szCs w:val="20"/>
              </w:rPr>
              <w:t>1) 데이터 준비</w:t>
            </w:r>
          </w:p>
        </w:tc>
      </w:tr>
      <w:tr>
        <w:tc>
          <w:tcPr>
            <w:tcW w:w="2000" w:type="dxa"/>
            <w:tcBorders>
              <w:top w:val="single" w:sz="4" w:space="0" w:color="000000"/>
              <w:left w:val="single" w:sz="4" w:space="0" w:color="000000"/>
              <w:bottom w:val="single" w:sz="4" w:space="0" w:color="000000"/>
              <w:right w:val="single" w:sz="4" w:space="0" w:color="000000"/>
            </w:tcBorders>
            <w:shd w:val="clear" w:color="auto" w:fill="D9D9D9"/>
            <w:tcMar>
              <w:top w:w="100" w:type="dxa"/>
              <w:left w:w="120" w:type="dxa"/>
              <w:bottom w:w="100" w:type="dxa"/>
              <w:right w:w="120" w:type="dxa"/>
            </w:tcMar>
            <w:vAlign w:val="center"/>
          </w:tcPr>
          <w:p>
            <w:pPr>
              <w:jc w:val="center"/>
            </w:pPr>
            <w:r>
              <w:rPr>
                <w:rFonts w:ascii="맑은 고딕" w:eastAsia="맑은 고딕" w:hAnsi="맑은 고딕" w:cs="맑은 고딕"/>
                <w:b/>
                <w:bCs/>
                <w:sz w:val="20"/>
                <w:szCs w:val="20"/>
              </w:rPr>
              <w:t>데이터 정의</w:t>
            </w:r>
          </w:p>
        </w:tc>
        <w:tc>
          <w:tcPr>
            <w:tcW w:w="7800" w:type="dxa"/>
            <w:tcBorders>
              <w:top w:val="single" w:sz="4" w:space="0" w:color="000000"/>
              <w:left w:val="single" w:sz="4" w:space="0" w:color="000000"/>
              <w:bottom w:val="single" w:sz="4" w:space="0" w:color="000000"/>
              <w:right w:val="single" w:sz="4" w:space="0" w:color="000000"/>
            </w:tcBorders>
            <w:tcMar>
              <w:top w:w="100" w:type="dxa"/>
              <w:left w:w="140" w:type="dxa"/>
              <w:bottom w:w="100" w:type="dxa"/>
              <w:right w:w="140" w:type="dxa"/>
            </w:tcMar>
            <w:vAlign w:val="center"/>
          </w:tcPr>
          <w:p>
            <w:r>
              <w:t>상상대로 서울 시민 제안 — 824건(프론트엔드 로드용) / 824건(전체 수집분), JSON — frontend/src/data/mockProposals.json, data/final/proposals.json</w:t>
              <w:br/>
              <w:t>국민신문고 실시간 민원 — 582건, JSON — frontend/src/data/civil_requests_all.json</w:t>
              <w:br/>
              <w:t>몽땅정보통 정책 DB — 322건, JSON — frontend/src/data/classified_policy.json</w:t>
              <w:br/>
              <w:t>네이버 API 및 NMF 뉴스 — 1,145건, JSON — frontend/src/data/news_all.json</w:t>
              <w:br/>
              <w:t>자치구 통계 — 25개 구, mockData.ts 내 하드코딩 — 2025년 잠정 합계출산율(서울시 0.630명) 및 출생아/보육시설 현황</w:t>
              <w:br/>
              <w:t>⚠ 주의: mongttang.json(824건)은 파일명과 달리 상상대로 제안 데이터이며, 몽땅정보통 정책 데이터는 classified_policy.json(322건)이 정본임.</w:t>
            </w:r>
          </w:p>
        </w:tc>
      </w:tr>
      <w:tr>
        <w:tc>
          <w:tcPr>
            <w:tcW w:w="2000" w:type="dxa"/>
            <w:tcBorders>
              <w:top w:val="single" w:sz="4" w:space="0" w:color="000000"/>
              <w:left w:val="single" w:sz="4" w:space="0" w:color="000000"/>
              <w:bottom w:val="single" w:sz="4" w:space="0" w:color="000000"/>
              <w:right w:val="single" w:sz="4" w:space="0" w:color="000000"/>
            </w:tcBorders>
            <w:shd w:val="clear" w:color="auto" w:fill="D9D9D9"/>
            <w:tcMar>
              <w:top w:w="100" w:type="dxa"/>
              <w:left w:w="120" w:type="dxa"/>
              <w:bottom w:w="100" w:type="dxa"/>
              <w:right w:w="120" w:type="dxa"/>
            </w:tcMar>
            <w:vAlign w:val="center"/>
          </w:tcPr>
          <w:p>
            <w:pPr>
              <w:jc w:val="center"/>
            </w:pPr>
            <w:r>
              <w:rPr>
                <w:rFonts w:ascii="맑은 고딕" w:eastAsia="맑은 고딕" w:hAnsi="맑은 고딕" w:cs="맑은 고딕"/>
                <w:b/>
                <w:bCs/>
                <w:sz w:val="20"/>
                <w:szCs w:val="20"/>
              </w:rPr>
              <w:t>데이터 획득 방법</w:t>
            </w:r>
          </w:p>
        </w:tc>
        <w:tc>
          <w:tcPr>
            <w:tcW w:w="7800" w:type="dxa"/>
            <w:tcBorders>
              <w:top w:val="single" w:sz="4" w:space="0" w:color="000000"/>
              <w:left w:val="single" w:sz="4" w:space="0" w:color="000000"/>
              <w:bottom w:val="single" w:sz="4" w:space="0" w:color="000000"/>
              <w:right w:val="single" w:sz="4" w:space="0" w:color="000000"/>
            </w:tcBorders>
            <w:tcMar>
              <w:top w:w="100" w:type="dxa"/>
              <w:left w:w="140" w:type="dxa"/>
              <w:bottom w:w="100" w:type="dxa"/>
              <w:right w:w="140" w:type="dxa"/>
            </w:tcMar>
            <w:vAlign w:val="center"/>
          </w:tcPr>
          <w:p>
            <w:pPr>
              <w:spacing w:after="80" w:line="280"/>
            </w:pPr>
            <w:r>
              <w:rPr>
                <w:rFonts w:ascii="맑은 고딕" w:eastAsia="맑은 고딕" w:hAnsi="맑은 고딕" w:cs="맑은 고딕"/>
                <w:sz w:val="20"/>
                <w:szCs w:val="20"/>
              </w:rPr>
              <w:t>상상대로 서울(시민 제안 API/웹 크롤링), 국민신문고(민원 API), 몽땅정보통(정책 크롤링), 네이버 뉴스 API, 자치구 통계(공공데이터·통계청)의 Multi-API 융합 수집 체계.</w:t>
            </w:r>
          </w:p>
        </w:tc>
      </w:tr>
      <w:tr>
        <w:tc>
          <w:tcPr>
            <w:gridSpan w:val="2"/>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r>
              <w:rPr>
                <w:rFonts w:ascii="맑은 고딕" w:eastAsia="맑은 고딕" w:hAnsi="맑은 고딕" w:cs="맑은 고딕"/>
                <w:b/>
                <w:bCs/>
                <w:sz w:val="20"/>
                <w:szCs w:val="20"/>
              </w:rPr>
              <w:t>2) EDA</w:t>
            </w:r>
          </w:p>
        </w:tc>
      </w:tr>
      <w:tr>
        <w:tc>
          <w:tcPr>
            <w:tcW w:w="2000" w:type="dxa"/>
            <w:tcBorders>
              <w:top w:val="single" w:sz="4" w:space="0" w:color="000000"/>
              <w:left w:val="single" w:sz="4" w:space="0" w:color="000000"/>
              <w:bottom w:val="single" w:sz="4" w:space="0" w:color="000000"/>
              <w:right w:val="single" w:sz="4" w:space="0" w:color="000000"/>
            </w:tcBorders>
            <w:shd w:val="clear" w:color="auto" w:fill="D9D9D9"/>
            <w:tcMar>
              <w:top w:w="100" w:type="dxa"/>
              <w:left w:w="120" w:type="dxa"/>
              <w:bottom w:w="100" w:type="dxa"/>
              <w:right w:w="120" w:type="dxa"/>
            </w:tcMar>
            <w:vAlign w:val="center"/>
          </w:tcPr>
          <w:p>
            <w:pPr>
              <w:jc w:val="center"/>
            </w:pPr>
            <w:r>
              <w:rPr>
                <w:rFonts w:ascii="맑은 고딕" w:eastAsia="맑은 고딕" w:hAnsi="맑은 고딕" w:cs="맑은 고딕"/>
                <w:b/>
                <w:bCs/>
                <w:sz w:val="20"/>
                <w:szCs w:val="20"/>
              </w:rPr>
              <w:t>EDA 과정</w:t>
            </w:r>
          </w:p>
        </w:tc>
        <w:tc>
          <w:tcPr>
            <w:tcW w:w="7800" w:type="dxa"/>
            <w:tcBorders>
              <w:top w:val="single" w:sz="4" w:space="0" w:color="000000"/>
              <w:left w:val="single" w:sz="4" w:space="0" w:color="000000"/>
              <w:bottom w:val="single" w:sz="4" w:space="0" w:color="000000"/>
              <w:right w:val="single" w:sz="4" w:space="0" w:color="000000"/>
            </w:tcBorders>
            <w:tcMar>
              <w:top w:w="100" w:type="dxa"/>
              <w:left w:w="140" w:type="dxa"/>
              <w:bottom w:w="100" w:type="dxa"/>
              <w:right w:w="140" w:type="dxa"/>
            </w:tcMar>
            <w:vAlign w:val="center"/>
          </w:tcPr>
          <w:p>
            <w:pPr>
              <w:spacing w:after="80" w:line="280"/>
            </w:pPr>
            <w:r>
              <w:rPr>
                <w:rFonts w:ascii="맑은 고딕" w:eastAsia="맑은 고딕" w:hAnsi="맑은 고딕" w:cs="맑은 고딕"/>
                <w:sz w:val="20"/>
                <w:szCs w:val="20"/>
              </w:rPr>
              <w:t>8대 대분류 카테고리 체계로 시민 제안·민원·정책 텍스트를 정밀 분류(4-4)하고, 아래 텍스트마이닝 파이프라인(textMining.ts)으로 정제 후 분포·결측 현황을 탐색.</w:t>
            </w:r>
          </w:p>
          <w:p>
            <w:pPr>
              <w:pStyle w:val="ListParagraph"/>
              <w:numPr>
                <w:ilvl w:val="0"/>
                <w:numId w:val="1"/>
              </w:numPr>
              <w:spacing w:after="80" w:line="280"/>
            </w:pPr>
            <w:r>
              <w:rPr>
                <w:rFonts w:ascii="맑은 고딕" w:eastAsia="맑은 고딕" w:hAnsi="맑은 고딕" w:cs="맑은 고딕"/>
                <w:sz w:val="20"/>
                <w:szCs w:val="20"/>
              </w:rPr>
              <w:t>조사/어미 제거(normalizeKoreanWord): 조사 17종 + 접미사 12종 규칙 기반 제거</w:t>
            </w:r>
          </w:p>
          <w:p>
            <w:pPr>
              <w:pStyle w:val="ListParagraph"/>
              <w:numPr>
                <w:ilvl w:val="0"/>
                <w:numId w:val="1"/>
              </w:numPr>
              <w:spacing w:after="80" w:line="280"/>
            </w:pPr>
            <w:r>
              <w:rPr>
                <w:rFonts w:ascii="맑은 고딕" w:eastAsia="맑은 고딕" w:hAnsi="맑은 고딕" w:cs="맑은 고딕"/>
                <w:sz w:val="20"/>
                <w:szCs w:val="20"/>
              </w:rPr>
              <w:t>유사어 통합(SYNONYM_MERGES): 다둥이→다자녀, 임산부석→임산부배려석 등</w:t>
            </w:r>
          </w:p>
          <w:p>
            <w:pPr>
              <w:pStyle w:val="ListParagraph"/>
              <w:numPr>
                <w:ilvl w:val="0"/>
                <w:numId w:val="1"/>
              </w:numPr>
              <w:spacing w:after="80" w:line="280"/>
            </w:pPr>
            <w:r>
              <w:rPr>
                <w:rFonts w:ascii="맑은 고딕" w:eastAsia="맑은 고딕" w:hAnsi="맑은 고딕" w:cs="맑은 고딕"/>
                <w:sz w:val="20"/>
                <w:szCs w:val="20"/>
              </w:rPr>
              <w:t>불용어 사전(STOP_WORDS): '서울시', '해주세요' 등 59개 기능어 필터링</w:t>
            </w:r>
          </w:p>
          <w:p>
            <w:pPr>
              <w:pStyle w:val="ListParagraph"/>
              <w:numPr>
                <w:ilvl w:val="0"/>
                <w:numId w:val="1"/>
              </w:numPr>
              <w:spacing w:after="80" w:line="280"/>
            </w:pPr>
            <w:r>
              <w:rPr>
                <w:rFonts w:ascii="맑은 고딕" w:eastAsia="맑은 고딕" w:hAnsi="맑은 고딕" w:cs="맑은 고딕"/>
                <w:sz w:val="20"/>
                <w:szCs w:val="20"/>
              </w:rPr>
              <w:t>동음이의어 안전장치(AMBIGUOUS_DISTRICT_KEYWORDS): 수유/방학/구의 등 7개 키워드는 같은 구의 확실한 지명이 동반 출현할 때만 자치구 매칭 인정, 단독 매칭 시 0.5배 감점</w:t>
            </w:r>
          </w:p>
          <w:p>
            <w:pPr>
              <w:pStyle w:val="ListParagraph"/>
              <w:numPr>
                <w:ilvl w:val="0"/>
                <w:numId w:val="1"/>
              </w:numPr>
              <w:spacing w:after="80" w:line="280"/>
            </w:pPr>
            <w:r>
              <w:rPr>
                <w:rFonts w:ascii="맑은 고딕" w:eastAsia="맑은 고딕" w:hAnsi="맑은 고딕" w:cs="맑은 고딕"/>
                <w:sz w:val="20"/>
                <w:szCs w:val="20"/>
              </w:rPr>
              <w:t>자치구 추정 엔진(inferDistrict): 25개 자치구 대표 지명 키워드(120+개) 가중 점수로 자치구 추정, { district, score, keywords, solidCount } 구조로 근거 반환</w:t>
            </w:r>
          </w:p>
        </w:tc>
      </w:tr>
      <w:tr>
        <w:tc>
          <w:tcPr>
            <w:gridSpan w:val="2"/>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r>
              <w:rPr>
                <w:rFonts w:ascii="맑은 고딕" w:eastAsia="맑은 고딕" w:hAnsi="맑은 고딕" w:cs="맑은 고딕"/>
                <w:b/>
                <w:bCs/>
                <w:sz w:val="20"/>
                <w:szCs w:val="20"/>
              </w:rPr>
              <w:t>3) 결론</w:t>
            </w:r>
          </w:p>
        </w:tc>
      </w:tr>
      <w:tr>
        <w:tc>
          <w:tcPr>
            <w:tcW w:w="2000" w:type="dxa"/>
            <w:tcBorders>
              <w:top w:val="single" w:sz="4" w:space="0" w:color="000000"/>
              <w:left w:val="single" w:sz="4" w:space="0" w:color="000000"/>
              <w:bottom w:val="single" w:sz="4" w:space="0" w:color="000000"/>
              <w:right w:val="single" w:sz="4" w:space="0" w:color="000000"/>
            </w:tcBorders>
            <w:shd w:val="clear" w:color="auto" w:fill="D9D9D9"/>
            <w:tcMar>
              <w:top w:w="100" w:type="dxa"/>
              <w:left w:w="120" w:type="dxa"/>
              <w:bottom w:w="100" w:type="dxa"/>
              <w:right w:w="120" w:type="dxa"/>
            </w:tcMar>
            <w:vAlign w:val="center"/>
          </w:tcPr>
          <w:p>
            <w:pPr>
              <w:jc w:val="center"/>
            </w:pPr>
            <w:r>
              <w:rPr>
                <w:rFonts w:ascii="맑은 고딕" w:eastAsia="맑은 고딕" w:hAnsi="맑은 고딕" w:cs="맑은 고딕"/>
                <w:b/>
                <w:bCs/>
                <w:sz w:val="20"/>
                <w:szCs w:val="20"/>
              </w:rPr>
              <w:t>EDA 결론</w:t>
            </w:r>
          </w:p>
        </w:tc>
        <w:tc>
          <w:tcPr>
            <w:tcW w:w="7800" w:type="dxa"/>
            <w:tcBorders>
              <w:top w:val="single" w:sz="4" w:space="0" w:color="000000"/>
              <w:left w:val="single" w:sz="4" w:space="0" w:color="000000"/>
              <w:bottom w:val="single" w:sz="4" w:space="0" w:color="000000"/>
              <w:right w:val="single" w:sz="4" w:space="0" w:color="000000"/>
            </w:tcBorders>
            <w:tcMar>
              <w:top w:w="100" w:type="dxa"/>
              <w:left w:w="140" w:type="dxa"/>
              <w:bottom w:w="100" w:type="dxa"/>
              <w:right w:w="140" w:type="dxa"/>
            </w:tcMar>
            <w:vAlign w:val="center"/>
          </w:tcPr>
          <w:p>
            <w:r>
              <w:t>한계: 프론트엔드 로드용 824건 기준 84.5%(360건), 전체 수집분 824건 기준 97.6%(804건)의 시민 제안이 자치구 미상(서울시 전체 대상)으로 확인됨.</w:t>
              <w:br/>
              <w:t>분석 기준점 전환: 지도·비교 차트의 핵심 비교 축을 '시민제안수' 대신 전수 검증된 공공 행정 지표(출생아 수, 보육시설 수, 합계출산율) 중심으로 개편해 왜곡 방지</w:t>
              <w:br/>
              <w:t>미상 격리 토글 탑재: 자치구 목록 조회 시 미상 포함/제외를 실무자가 직접 선택</w:t>
              <w:br/>
              <w:t>5원 데이터 융합 복원: 텍스트 지역 키워드 추출 + 몽땅정보통·통계청 등 5원 융합으로 결측치 보완</w:t>
              <w:br/>
              <w:t>결측치 복원 실무자 검증 워크플로우(원문 펼치기/원문 링크 → 체크박스 선택 → 1클릭 반영)로 Human-in-the-loop 확정 프로세스 구현</w:t>
              <w:br/>
              <w:t>대시보드 반영 시 유의점: 미상 데이터를 특정 구로 강제 매핑하거나 임의 분포시키면 통계적 형평성이 상실되므로, 반드시 미상/자치구 데이터를 격리한 상태로 시각화해야 함</w:t>
            </w:r>
          </w:p>
        </w:tc>
      </w:tr>
      <w:tr>
        <w:tc>
          <w:tcPr>
            <w:tcW w:w="2000" w:type="dxa"/>
            <w:tcBorders>
              <w:top w:val="single" w:sz="4" w:space="0" w:color="000000"/>
              <w:left w:val="single" w:sz="4" w:space="0" w:color="000000"/>
              <w:bottom w:val="single" w:sz="4" w:space="0" w:color="000000"/>
              <w:right w:val="single" w:sz="4" w:space="0" w:color="000000"/>
            </w:tcBorders>
            <w:shd w:val="clear" w:color="auto" w:fill="D9D9D9"/>
            <w:tcMar>
              <w:top w:w="100" w:type="dxa"/>
              <w:left w:w="120" w:type="dxa"/>
              <w:bottom w:w="100" w:type="dxa"/>
              <w:right w:w="120" w:type="dxa"/>
            </w:tcMar>
            <w:vAlign w:val="center"/>
          </w:tcPr>
          <w:p>
            <w:pPr>
              <w:jc w:val="center"/>
            </w:pPr>
            <w:r>
              <w:rPr>
                <w:rFonts w:ascii="맑은 고딕" w:eastAsia="맑은 고딕" w:hAnsi="맑은 고딕" w:cs="맑은 고딕"/>
                <w:b/>
                <w:bCs/>
                <w:sz w:val="20"/>
                <w:szCs w:val="20"/>
              </w:rPr>
              <w:t>KPI 확정</w:t>
            </w:r>
          </w:p>
        </w:tc>
        <w:tc>
          <w:tcPr>
            <w:tcW w:w="7800" w:type="dxa"/>
            <w:tcBorders>
              <w:top w:val="single" w:sz="4" w:space="0" w:color="000000"/>
              <w:left w:val="single" w:sz="4" w:space="0" w:color="000000"/>
              <w:bottom w:val="single" w:sz="4" w:space="0" w:color="000000"/>
              <w:right w:val="single" w:sz="4" w:space="0" w:color="000000"/>
            </w:tcBorders>
            <w:tcMar>
              <w:top w:w="100" w:type="dxa"/>
              <w:left w:w="140" w:type="dxa"/>
              <w:bottom w:w="100" w:type="dxa"/>
              <w:right w:w="140" w:type="dxa"/>
            </w:tcMar>
            <w:vAlign w:val="center"/>
          </w:tcPr>
          <w:p>
            <w:pPr>
              <w:spacing w:after="80" w:line="280"/>
            </w:pPr>
            <w:r>
              <w:rPr>
                <w:rFonts w:ascii="맑은 고딕" w:eastAsia="맑은 고딕" w:hAnsi="맑은 고딕" w:cs="맑은 고딕"/>
                <w:sz w:val="20"/>
                <w:szCs w:val="20"/>
              </w:rPr>
              <w:t>3장의 정책 공급 공백 점수 공식(0.6×미해결도 + 0.4×(100－정책 커버리지))과 3가지 가중치 방법론(기본/박미경2022/KICCE2023)에 따라 재계산된 우선순위 점수 순으로 군집을 정렬하여, 상위권 군집을 우선 조치 대상으로 확정한다.</w:t>
            </w:r>
          </w:p>
        </w:tc>
      </w:tr>
    </w:tbl>
    <w:p>
      <w:pPr>
        <w:spacing w:after="160" w:before="360"/>
      </w:pPr>
      <w:r>
        <w:rPr>
          <w:rFonts w:ascii="맑은 고딕" w:eastAsia="맑은 고딕" w:hAnsi="맑은 고딕" w:cs="맑은 고딕"/>
          <w:b/>
          <w:bCs/>
          <w:sz w:val="26"/>
          <w:szCs w:val="26"/>
        </w:rPr>
        <w:t>3. 모델링 명세서</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7800"/>
      </w:tblGrid>
      <w:tr>
        <w:tc>
          <w:tcPr>
            <w:tcW w:w="2000" w:type="dxa"/>
            <w:tcBorders>
              <w:top w:val="single" w:sz="4" w:space="0" w:color="000000"/>
              <w:left w:val="single" w:sz="4" w:space="0" w:color="000000"/>
              <w:bottom w:val="single" w:sz="4" w:space="0" w:color="000000"/>
              <w:right w:val="single" w:sz="4" w:space="0" w:color="000000"/>
            </w:tcBorders>
            <w:shd w:val="clear" w:color="auto" w:fill="D9D9D9"/>
            <w:tcMar>
              <w:top w:w="100" w:type="dxa"/>
              <w:left w:w="120" w:type="dxa"/>
              <w:bottom w:w="100" w:type="dxa"/>
              <w:right w:w="120" w:type="dxa"/>
            </w:tcMar>
            <w:vAlign w:val="center"/>
          </w:tcPr>
          <w:p>
            <w:pPr>
              <w:jc w:val="center"/>
            </w:pPr>
            <w:r>
              <w:rPr>
                <w:rFonts w:ascii="맑은 고딕" w:eastAsia="맑은 고딕" w:hAnsi="맑은 고딕" w:cs="맑은 고딕"/>
                <w:b/>
                <w:bCs/>
                <w:sz w:val="20"/>
                <w:szCs w:val="20"/>
              </w:rPr>
              <w:t>목표 및 목적</w:t>
            </w:r>
          </w:p>
        </w:tc>
        <w:tc>
          <w:tcPr>
            <w:tcW w:w="7800" w:type="dxa"/>
            <w:tcBorders>
              <w:top w:val="single" w:sz="4" w:space="0" w:color="000000"/>
              <w:left w:val="single" w:sz="4" w:space="0" w:color="000000"/>
              <w:bottom w:val="single" w:sz="4" w:space="0" w:color="000000"/>
              <w:right w:val="single" w:sz="4" w:space="0" w:color="000000"/>
            </w:tcBorders>
            <w:tcMar>
              <w:top w:w="100" w:type="dxa"/>
              <w:left w:w="140" w:type="dxa"/>
              <w:bottom w:w="100" w:type="dxa"/>
              <w:right w:w="140" w:type="dxa"/>
            </w:tcMar>
            <w:vAlign w:val="center"/>
          </w:tcPr>
          <w:p>
            <w:pPr>
              <w:spacing w:after="80" w:line="280"/>
            </w:pPr>
            <w:r>
              <w:rPr>
                <w:rFonts w:ascii="맑은 고딕" w:eastAsia="맑은 고딕" w:hAnsi="맑은 고딕" w:cs="맑은 고딕"/>
                <w:sz w:val="20"/>
                <w:szCs w:val="20"/>
              </w:rPr>
              <w:t>정책 실무자가 학술 연구 근거를 바탕으로 설계된 가중치 모델을 선택·적용하여, 정책 우선순위 및 공급 공백을 설명 가능한(explainable) 방식으로 산정하는 규칙 기반 스코어링 모델링.</w:t>
            </w:r>
          </w:p>
        </w:tc>
      </w:tr>
      <w:tr>
        <w:tc>
          <w:tcPr>
            <w:gridSpan w:val="2"/>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r>
              <w:rPr>
                <w:rFonts w:ascii="맑은 고딕" w:eastAsia="맑은 고딕" w:hAnsi="맑은 고딕" w:cs="맑은 고딕"/>
                <w:b/>
                <w:bCs/>
                <w:sz w:val="20"/>
                <w:szCs w:val="20"/>
              </w:rPr>
              <w:t>1) 데이터 준비</w:t>
            </w:r>
          </w:p>
        </w:tc>
      </w:tr>
      <w:tr>
        <w:tc>
          <w:tcPr>
            <w:tcW w:w="2000" w:type="dxa"/>
            <w:tcBorders>
              <w:top w:val="single" w:sz="4" w:space="0" w:color="000000"/>
              <w:left w:val="single" w:sz="4" w:space="0" w:color="000000"/>
              <w:bottom w:val="single" w:sz="4" w:space="0" w:color="000000"/>
              <w:right w:val="single" w:sz="4" w:space="0" w:color="000000"/>
            </w:tcBorders>
            <w:shd w:val="clear" w:color="auto" w:fill="D9D9D9"/>
            <w:tcMar>
              <w:top w:w="100" w:type="dxa"/>
              <w:left w:w="120" w:type="dxa"/>
              <w:bottom w:w="100" w:type="dxa"/>
              <w:right w:w="120" w:type="dxa"/>
            </w:tcMar>
            <w:vAlign w:val="center"/>
          </w:tcPr>
          <w:p>
            <w:pPr>
              <w:jc w:val="center"/>
            </w:pPr>
            <w:r>
              <w:rPr>
                <w:rFonts w:ascii="맑은 고딕" w:eastAsia="맑은 고딕" w:hAnsi="맑은 고딕" w:cs="맑은 고딕"/>
                <w:b/>
                <w:bCs/>
                <w:sz w:val="20"/>
                <w:szCs w:val="20"/>
              </w:rPr>
              <w:t>데이터 정의</w:t>
            </w:r>
          </w:p>
        </w:tc>
        <w:tc>
          <w:tcPr>
            <w:tcW w:w="7800" w:type="dxa"/>
            <w:tcBorders>
              <w:top w:val="single" w:sz="4" w:space="0" w:color="000000"/>
              <w:left w:val="single" w:sz="4" w:space="0" w:color="000000"/>
              <w:bottom w:val="single" w:sz="4" w:space="0" w:color="000000"/>
              <w:right w:val="single" w:sz="4" w:space="0" w:color="000000"/>
            </w:tcBorders>
            <w:tcMar>
              <w:top w:w="100" w:type="dxa"/>
              <w:left w:w="140" w:type="dxa"/>
              <w:bottom w:w="100" w:type="dxa"/>
              <w:right w:w="140" w:type="dxa"/>
            </w:tcMar>
            <w:vAlign w:val="center"/>
          </w:tcPr>
          <w:p>
            <w:pPr>
              <w:spacing w:after="80" w:line="280"/>
            </w:pPr>
            <w:r>
              <w:rPr>
                <w:rFonts w:ascii="맑은 고딕" w:eastAsia="맑은 고딕" w:hAnsi="맑은 고딕" w:cs="맑은 고딕"/>
                <w:sz w:val="20"/>
                <w:szCs w:val="20"/>
              </w:rPr>
              <w:t>2장 EDA 명세서의 5개 원천 데이터(상상대로 제안, 국민신문고 민원, 몽땅정보통 정책, 네이버 뉴스, 자치구 통계)에서 파생한 군집별 변수 — 제안 수·추천 수·댓글 수(시민 요구), 미해결 비율·정책 커버리지(공급 공백), 민원 유입 속도·위기 키워드(시급성) 등.</w:t>
            </w:r>
          </w:p>
        </w:tc>
      </w:tr>
      <w:tr>
        <w:tc>
          <w:tcPr>
            <w:tcW w:w="2000" w:type="dxa"/>
            <w:tcBorders>
              <w:top w:val="single" w:sz="4" w:space="0" w:color="000000"/>
              <w:left w:val="single" w:sz="4" w:space="0" w:color="000000"/>
              <w:bottom w:val="single" w:sz="4" w:space="0" w:color="000000"/>
              <w:right w:val="single" w:sz="4" w:space="0" w:color="000000"/>
            </w:tcBorders>
            <w:shd w:val="clear" w:color="auto" w:fill="D9D9D9"/>
            <w:tcMar>
              <w:top w:w="100" w:type="dxa"/>
              <w:left w:w="120" w:type="dxa"/>
              <w:bottom w:w="100" w:type="dxa"/>
              <w:right w:w="120" w:type="dxa"/>
            </w:tcMar>
            <w:vAlign w:val="center"/>
          </w:tcPr>
          <w:p>
            <w:pPr>
              <w:jc w:val="center"/>
            </w:pPr>
            <w:r>
              <w:rPr>
                <w:rFonts w:ascii="맑은 고딕" w:eastAsia="맑은 고딕" w:hAnsi="맑은 고딕" w:cs="맑은 고딕"/>
                <w:b/>
                <w:bCs/>
                <w:sz w:val="20"/>
                <w:szCs w:val="20"/>
              </w:rPr>
              <w:t>데이터 획득 방법</w:t>
            </w:r>
          </w:p>
        </w:tc>
        <w:tc>
          <w:tcPr>
            <w:tcW w:w="7800" w:type="dxa"/>
            <w:tcBorders>
              <w:top w:val="single" w:sz="4" w:space="0" w:color="000000"/>
              <w:left w:val="single" w:sz="4" w:space="0" w:color="000000"/>
              <w:bottom w:val="single" w:sz="4" w:space="0" w:color="000000"/>
              <w:right w:val="single" w:sz="4" w:space="0" w:color="000000"/>
            </w:tcBorders>
            <w:tcMar>
              <w:top w:w="100" w:type="dxa"/>
              <w:left w:w="140" w:type="dxa"/>
              <w:bottom w:w="100" w:type="dxa"/>
              <w:right w:w="140" w:type="dxa"/>
            </w:tcMar>
            <w:vAlign w:val="center"/>
          </w:tcPr>
          <w:p>
            <w:pPr>
              <w:spacing w:after="80" w:line="280"/>
            </w:pPr>
            <w:r>
              <w:rPr>
                <w:rFonts w:ascii="맑은 고딕" w:eastAsia="맑은 고딕" w:hAnsi="맑은 고딕" w:cs="맑은 고딕"/>
                <w:sz w:val="20"/>
                <w:szCs w:val="20"/>
              </w:rPr>
              <w:t>2장과 동일한 Multi-API 융합 수집 데이터를 8대 대분류 및 57개 군집 단위로 재집계하여 사용.</w:t>
            </w:r>
          </w:p>
        </w:tc>
      </w:tr>
      <w:tr>
        <w:tc>
          <w:tcPr>
            <w:gridSpan w:val="2"/>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r>
              <w:rPr>
                <w:rFonts w:ascii="맑은 고딕" w:eastAsia="맑은 고딕" w:hAnsi="맑은 고딕" w:cs="맑은 고딕"/>
                <w:b/>
                <w:bCs/>
                <w:sz w:val="20"/>
                <w:szCs w:val="20"/>
              </w:rPr>
              <w:t>2) 전처리</w:t>
            </w:r>
          </w:p>
        </w:tc>
      </w:tr>
      <w:tr>
        <w:tc>
          <w:tcPr>
            <w:tcW w:w="2000" w:type="dxa"/>
            <w:tcBorders>
              <w:top w:val="single" w:sz="4" w:space="0" w:color="000000"/>
              <w:left w:val="single" w:sz="4" w:space="0" w:color="000000"/>
              <w:bottom w:val="single" w:sz="4" w:space="0" w:color="000000"/>
              <w:right w:val="single" w:sz="4" w:space="0" w:color="000000"/>
            </w:tcBorders>
            <w:shd w:val="clear" w:color="auto" w:fill="D9D9D9"/>
            <w:tcMar>
              <w:top w:w="100" w:type="dxa"/>
              <w:left w:w="120" w:type="dxa"/>
              <w:bottom w:w="100" w:type="dxa"/>
              <w:right w:w="120" w:type="dxa"/>
            </w:tcMar>
            <w:vAlign w:val="center"/>
          </w:tcPr>
          <w:p>
            <w:pPr>
              <w:jc w:val="center"/>
            </w:pPr>
            <w:r>
              <w:rPr>
                <w:rFonts w:ascii="맑은 고딕" w:eastAsia="맑은 고딕" w:hAnsi="맑은 고딕" w:cs="맑은 고딕"/>
                <w:b/>
                <w:bCs/>
                <w:sz w:val="20"/>
                <w:szCs w:val="20"/>
              </w:rPr>
              <w:t>전처리 과정</w:t>
            </w:r>
          </w:p>
        </w:tc>
        <w:tc>
          <w:tcPr>
            <w:tcW w:w="7800" w:type="dxa"/>
            <w:tcBorders>
              <w:top w:val="single" w:sz="4" w:space="0" w:color="000000"/>
              <w:left w:val="single" w:sz="4" w:space="0" w:color="000000"/>
              <w:bottom w:val="single" w:sz="4" w:space="0" w:color="000000"/>
              <w:right w:val="single" w:sz="4" w:space="0" w:color="000000"/>
            </w:tcBorders>
            <w:tcMar>
              <w:top w:w="100" w:type="dxa"/>
              <w:left w:w="140" w:type="dxa"/>
              <w:bottom w:w="100" w:type="dxa"/>
              <w:right w:w="140" w:type="dxa"/>
            </w:tcMar>
            <w:vAlign w:val="center"/>
          </w:tcPr>
          <w:p>
            <w:pPr>
              <w:spacing w:after="80" w:line="280"/>
            </w:pPr>
            <w:r>
              <w:rPr>
                <w:rFonts w:ascii="맑은 고딕" w:eastAsia="맑은 고딕" w:hAnsi="맑은 고딕" w:cs="맑은 고딕"/>
                <w:sz w:val="20"/>
                <w:szCs w:val="20"/>
              </w:rPr>
              <w:t>textMining.ts 공유 유틸을 통한 한국어 텍스트 정제(조사/어미 제거, 유사어 통합, 불용어 제거, 동음이의어 안전장치, 자치구 추정)를 키워드 탐색기·결측치 복원·데이터 전처리 전 구간에 공통 적용.</w:t>
            </w:r>
          </w:p>
          <w:p>
            <w:pPr>
              <w:pStyle w:val="ListParagraph"/>
              <w:numPr>
                <w:ilvl w:val="0"/>
                <w:numId w:val="1"/>
              </w:numPr>
              <w:spacing w:after="80" w:line="280"/>
            </w:pPr>
            <w:r>
              <w:rPr>
                <w:rFonts w:ascii="맑은 고딕" w:eastAsia="맑은 고딕" w:hAnsi="맑은 고딕" w:cs="맑은 고딕"/>
                <w:sz w:val="20"/>
                <w:szCs w:val="20"/>
              </w:rPr>
              <w:t>담당자 피드백 기반 사전 자동 업데이트(applyFeedbackKeywords): 담당자 피드백(지역/분류 오매칭+맥락 메모)이 localStorage에 축적되면, 반복 오매칭 키워드를 AMBIGUOUS_DISTRICT_KEYWORDS에 자동 반영하는 Human-in-the-loop 품질 개선 파이프라인</w:t>
            </w:r>
          </w:p>
        </w:tc>
      </w:tr>
      <w:tr>
        <w:tc>
          <w:tcPr>
            <w:gridSpan w:val="2"/>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r>
              <w:rPr>
                <w:rFonts w:ascii="맑은 고딕" w:eastAsia="맑은 고딕" w:hAnsi="맑은 고딕" w:cs="맑은 고딕"/>
                <w:b/>
                <w:bCs/>
                <w:sz w:val="20"/>
                <w:szCs w:val="20"/>
              </w:rPr>
              <w:t>3) 모델 생성 및 학습</w:t>
            </w:r>
          </w:p>
        </w:tc>
      </w:tr>
      <w:tr>
        <w:tc>
          <w:tcPr>
            <w:tcW w:w="2000" w:type="dxa"/>
            <w:tcBorders>
              <w:top w:val="single" w:sz="4" w:space="0" w:color="000000"/>
              <w:left w:val="single" w:sz="4" w:space="0" w:color="000000"/>
              <w:bottom w:val="single" w:sz="4" w:space="0" w:color="000000"/>
              <w:right w:val="single" w:sz="4" w:space="0" w:color="000000"/>
            </w:tcBorders>
            <w:shd w:val="clear" w:color="auto" w:fill="D9D9D9"/>
            <w:tcMar>
              <w:top w:w="100" w:type="dxa"/>
              <w:left w:w="120" w:type="dxa"/>
              <w:bottom w:w="100" w:type="dxa"/>
              <w:right w:w="120" w:type="dxa"/>
            </w:tcMar>
            <w:vAlign w:val="center"/>
          </w:tcPr>
          <w:p>
            <w:pPr>
              <w:jc w:val="center"/>
            </w:pPr>
            <w:r>
              <w:rPr>
                <w:rFonts w:ascii="맑은 고딕" w:eastAsia="맑은 고딕" w:hAnsi="맑은 고딕" w:cs="맑은 고딕"/>
                <w:b/>
                <w:bCs/>
                <w:sz w:val="20"/>
                <w:szCs w:val="20"/>
              </w:rPr>
              <w:t>모델링 목표</w:t>
            </w:r>
          </w:p>
        </w:tc>
        <w:tc>
          <w:tcPr>
            <w:tcW w:w="7800" w:type="dxa"/>
            <w:tcBorders>
              <w:top w:val="single" w:sz="4" w:space="0" w:color="000000"/>
              <w:left w:val="single" w:sz="4" w:space="0" w:color="000000"/>
              <w:bottom w:val="single" w:sz="4" w:space="0" w:color="000000"/>
              <w:right w:val="single" w:sz="4" w:space="0" w:color="000000"/>
            </w:tcBorders>
            <w:tcMar>
              <w:top w:w="100" w:type="dxa"/>
              <w:left w:w="140" w:type="dxa"/>
              <w:bottom w:w="100" w:type="dxa"/>
              <w:right w:w="140" w:type="dxa"/>
            </w:tcMar>
            <w:vAlign w:val="center"/>
          </w:tcPr>
          <w:p>
            <w:pPr>
              <w:spacing w:after="80" w:line="280"/>
            </w:pPr>
            <w:r>
              <w:rPr>
                <w:rFonts w:ascii="맑은 고딕" w:eastAsia="맑은 고딕" w:hAnsi="맑은 고딕" w:cs="맑은 고딕"/>
                <w:sz w:val="20"/>
                <w:szCs w:val="20"/>
              </w:rPr>
              <w:t>최종 우선순위 점수 = (시민 요구 강도×Wd) + (정책 공급 공백×Wg) + (사회적 시급성×Wu) + (행정 실행 가능성×Wf) + (AI 분석 신뢰도×Wc). 방법론 변경 시 57개 군집이 재계산 결과에 맞춰 내림차순으로 실시간 재정렬되는 것을 목표로 함.</w:t>
            </w:r>
          </w:p>
        </w:tc>
      </w:tr>
      <w:tr>
        <w:tc>
          <w:tcPr>
            <w:tcW w:w="2000" w:type="dxa"/>
            <w:tcBorders>
              <w:top w:val="single" w:sz="4" w:space="0" w:color="000000"/>
              <w:left w:val="single" w:sz="4" w:space="0" w:color="000000"/>
              <w:bottom w:val="single" w:sz="4" w:space="0" w:color="000000"/>
              <w:right w:val="single" w:sz="4" w:space="0" w:color="000000"/>
            </w:tcBorders>
            <w:shd w:val="clear" w:color="auto" w:fill="D9D9D9"/>
            <w:tcMar>
              <w:top w:w="100" w:type="dxa"/>
              <w:left w:w="120" w:type="dxa"/>
              <w:bottom w:w="100" w:type="dxa"/>
              <w:right w:w="120" w:type="dxa"/>
            </w:tcMar>
            <w:vAlign w:val="center"/>
          </w:tcPr>
          <w:p>
            <w:pPr>
              <w:jc w:val="center"/>
            </w:pPr>
            <w:r>
              <w:rPr>
                <w:rFonts w:ascii="맑은 고딕" w:eastAsia="맑은 고딕" w:hAnsi="맑은 고딕" w:cs="맑은 고딕"/>
                <w:b/>
                <w:bCs/>
                <w:sz w:val="20"/>
                <w:szCs w:val="20"/>
              </w:rPr>
              <w:t>타겟(Y) 정의 및 근거</w:t>
            </w:r>
          </w:p>
        </w:tc>
        <w:tc>
          <w:tcPr>
            <w:tcW w:w="7800" w:type="dxa"/>
            <w:tcBorders>
              <w:top w:val="single" w:sz="4" w:space="0" w:color="000000"/>
              <w:left w:val="single" w:sz="4" w:space="0" w:color="000000"/>
              <w:bottom w:val="single" w:sz="4" w:space="0" w:color="000000"/>
              <w:right w:val="single" w:sz="4" w:space="0" w:color="000000"/>
            </w:tcBorders>
            <w:tcMar>
              <w:top w:w="100" w:type="dxa"/>
              <w:left w:w="140" w:type="dxa"/>
              <w:bottom w:w="100" w:type="dxa"/>
              <w:right w:w="140" w:type="dxa"/>
            </w:tcMar>
            <w:vAlign w:val="center"/>
          </w:tcPr>
          <w:p>
            <w:pPr>
              <w:spacing w:after="80" w:line="280"/>
            </w:pPr>
            <w:r>
              <w:rPr>
                <w:rFonts w:ascii="맑은 고딕" w:eastAsia="맑은 고딕" w:hAnsi="맑은 고딕" w:cs="맑은 고딕"/>
                <w:sz w:val="20"/>
                <w:szCs w:val="20"/>
              </w:rPr>
              <w:t>회귀·분류 예측이 아닌 5개 요소 가중합 기반의 연속형 우선순위 스코어(설명 가능한 스코어링)로 정의. 근거: 6대 학술 선행 연구의 가설→테스트→실증검증→대시보드 이식 4단계 파이프라인(아래 표 참조).</w:t>
            </w:r>
          </w:p>
        </w:tc>
      </w:tr>
      <w:tr>
        <w:tc>
          <w:tcPr>
            <w:tcW w:w="2000" w:type="dxa"/>
            <w:tcBorders>
              <w:top w:val="single" w:sz="4" w:space="0" w:color="000000"/>
              <w:left w:val="single" w:sz="4" w:space="0" w:color="000000"/>
              <w:bottom w:val="single" w:sz="4" w:space="0" w:color="000000"/>
              <w:right w:val="single" w:sz="4" w:space="0" w:color="000000"/>
            </w:tcBorders>
            <w:shd w:val="clear" w:color="auto" w:fill="D9D9D9"/>
            <w:tcMar>
              <w:top w:w="100" w:type="dxa"/>
              <w:left w:w="120" w:type="dxa"/>
              <w:bottom w:w="100" w:type="dxa"/>
              <w:right w:w="120" w:type="dxa"/>
            </w:tcMar>
            <w:vAlign w:val="center"/>
          </w:tcPr>
          <w:p>
            <w:pPr>
              <w:jc w:val="center"/>
            </w:pPr>
            <w:r>
              <w:rPr>
                <w:rFonts w:ascii="맑은 고딕" w:eastAsia="맑은 고딕" w:hAnsi="맑은 고딕" w:cs="맑은 고딕"/>
                <w:b/>
                <w:bCs/>
                <w:sz w:val="20"/>
                <w:szCs w:val="20"/>
              </w:rPr>
              <w:t>모델링 알고리즘</w:t>
            </w:r>
          </w:p>
        </w:tc>
        <w:tc>
          <w:tcPr>
            <w:tcW w:w="7800" w:type="dxa"/>
            <w:tcBorders>
              <w:top w:val="single" w:sz="4" w:space="0" w:color="000000"/>
              <w:left w:val="single" w:sz="4" w:space="0" w:color="000000"/>
              <w:bottom w:val="single" w:sz="4" w:space="0" w:color="000000"/>
              <w:right w:val="single" w:sz="4" w:space="0" w:color="000000"/>
            </w:tcBorders>
            <w:tcMar>
              <w:top w:w="100" w:type="dxa"/>
              <w:left w:w="140" w:type="dxa"/>
              <w:bottom w:w="100" w:type="dxa"/>
              <w:right w:w="140" w:type="dxa"/>
            </w:tcMar>
            <w:vAlign w:val="center"/>
          </w:tcPr>
          <w:p>
            <w:pPr>
              <w:spacing w:after="80" w:line="280"/>
            </w:pPr>
            <w:r>
              <w:rPr>
                <w:rFonts w:ascii="맑은 고딕" w:eastAsia="맑은 고딕" w:hAnsi="맑은 고딕" w:cs="맑은 고딕"/>
                <w:sz w:val="20"/>
                <w:szCs w:val="20"/>
              </w:rPr>
              <w:t>규칙 기반(Rule-based) 가중합 스코어링 — 3종 가중치 프리셋:</w:t>
            </w:r>
          </w:p>
          <w:tbl>
            <w:tblPr>
              <w:tblW w:w="7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0"/>
              <w:gridCol w:w="1080"/>
              <w:gridCol w:w="1080"/>
              <w:gridCol w:w="1080"/>
              <w:gridCol w:w="1080"/>
              <w:gridCol w:w="1080"/>
            </w:tblGrid>
            <w:tr>
              <w:trPr>
                <w:tblHeader/>
              </w:trPr>
              <w:tc>
                <w:tcPr>
                  <w:tcW w:w="2000" w:type="dxa"/>
                  <w:tcBorders>
                    <w:top w:val="single" w:sz="4" w:space="0" w:color="000000"/>
                    <w:left w:val="single" w:sz="4" w:space="0" w:color="000000"/>
                    <w:bottom w:val="single" w:sz="4" w:space="0" w:color="000000"/>
                    <w:right w:val="single" w:sz="4" w:space="0" w:color="000000"/>
                  </w:tcBorders>
                  <w:shd w:val="clear" w:color="auto" w:fill="D9D9D9"/>
                  <w:tcMar>
                    <w:top w:w="100" w:type="dxa"/>
                    <w:left w:w="120" w:type="dxa"/>
                    <w:bottom w:w="100" w:type="dxa"/>
                    <w:right w:w="120" w:type="dxa"/>
                  </w:tcMar>
                  <w:vAlign w:val="center"/>
                </w:tcPr>
                <w:p>
                  <w:pPr>
                    <w:jc w:val="center"/>
                  </w:pPr>
                  <w:r>
                    <w:rPr>
                      <w:rFonts w:ascii="맑은 고딕" w:eastAsia="맑은 고딕" w:hAnsi="맑은 고딕" w:cs="맑은 고딕"/>
                      <w:b/>
                      <w:bCs/>
                      <w:sz w:val="20"/>
                      <w:szCs w:val="20"/>
                    </w:rPr>
                    <w:t>방법론</w:t>
                  </w:r>
                </w:p>
              </w:tc>
              <w:tc>
                <w:tcPr>
                  <w:tcW w:w="2000" w:type="dxa"/>
                  <w:tcBorders>
                    <w:top w:val="single" w:sz="4" w:space="0" w:color="000000"/>
                    <w:left w:val="single" w:sz="4" w:space="0" w:color="000000"/>
                    <w:bottom w:val="single" w:sz="4" w:space="0" w:color="000000"/>
                    <w:right w:val="single" w:sz="4" w:space="0" w:color="000000"/>
                  </w:tcBorders>
                  <w:shd w:val="clear" w:color="auto" w:fill="D9D9D9"/>
                  <w:tcMar>
                    <w:top w:w="100" w:type="dxa"/>
                    <w:left w:w="120" w:type="dxa"/>
                    <w:bottom w:w="100" w:type="dxa"/>
                    <w:right w:w="120" w:type="dxa"/>
                  </w:tcMar>
                  <w:vAlign w:val="center"/>
                </w:tcPr>
                <w:p>
                  <w:pPr>
                    <w:jc w:val="center"/>
                  </w:pPr>
                  <w:r>
                    <w:rPr>
                      <w:rFonts w:ascii="맑은 고딕" w:eastAsia="맑은 고딕" w:hAnsi="맑은 고딕" w:cs="맑은 고딕"/>
                      <w:b/>
                      <w:bCs/>
                      <w:sz w:val="20"/>
                      <w:szCs w:val="20"/>
                    </w:rPr>
                    <w:t>요구Wd</w:t>
                  </w:r>
                </w:p>
              </w:tc>
              <w:tc>
                <w:tcPr>
                  <w:tcW w:w="2000" w:type="dxa"/>
                  <w:tcBorders>
                    <w:top w:val="single" w:sz="4" w:space="0" w:color="000000"/>
                    <w:left w:val="single" w:sz="4" w:space="0" w:color="000000"/>
                    <w:bottom w:val="single" w:sz="4" w:space="0" w:color="000000"/>
                    <w:right w:val="single" w:sz="4" w:space="0" w:color="000000"/>
                  </w:tcBorders>
                  <w:shd w:val="clear" w:color="auto" w:fill="D9D9D9"/>
                  <w:tcMar>
                    <w:top w:w="100" w:type="dxa"/>
                    <w:left w:w="120" w:type="dxa"/>
                    <w:bottom w:w="100" w:type="dxa"/>
                    <w:right w:w="120" w:type="dxa"/>
                  </w:tcMar>
                  <w:vAlign w:val="center"/>
                </w:tcPr>
                <w:p>
                  <w:pPr>
                    <w:jc w:val="center"/>
                  </w:pPr>
                  <w:r>
                    <w:rPr>
                      <w:rFonts w:ascii="맑은 고딕" w:eastAsia="맑은 고딕" w:hAnsi="맑은 고딕" w:cs="맑은 고딕"/>
                      <w:b/>
                      <w:bCs/>
                      <w:sz w:val="20"/>
                      <w:szCs w:val="20"/>
                    </w:rPr>
                    <w:t>공백Wg</w:t>
                  </w:r>
                </w:p>
              </w:tc>
              <w:tc>
                <w:tcPr>
                  <w:tcW w:w="2000" w:type="dxa"/>
                  <w:tcBorders>
                    <w:top w:val="single" w:sz="4" w:space="0" w:color="000000"/>
                    <w:left w:val="single" w:sz="4" w:space="0" w:color="000000"/>
                    <w:bottom w:val="single" w:sz="4" w:space="0" w:color="000000"/>
                    <w:right w:val="single" w:sz="4" w:space="0" w:color="000000"/>
                  </w:tcBorders>
                  <w:shd w:val="clear" w:color="auto" w:fill="D9D9D9"/>
                  <w:tcMar>
                    <w:top w:w="100" w:type="dxa"/>
                    <w:left w:w="120" w:type="dxa"/>
                    <w:bottom w:w="100" w:type="dxa"/>
                    <w:right w:w="120" w:type="dxa"/>
                  </w:tcMar>
                  <w:vAlign w:val="center"/>
                </w:tcPr>
                <w:p>
                  <w:pPr>
                    <w:jc w:val="center"/>
                  </w:pPr>
                  <w:r>
                    <w:rPr>
                      <w:rFonts w:ascii="맑은 고딕" w:eastAsia="맑은 고딕" w:hAnsi="맑은 고딕" w:cs="맑은 고딕"/>
                      <w:b/>
                      <w:bCs/>
                      <w:sz w:val="20"/>
                      <w:szCs w:val="20"/>
                    </w:rPr>
                    <w:t>시급Wu</w:t>
                  </w:r>
                </w:p>
              </w:tc>
              <w:tc>
                <w:tcPr>
                  <w:tcW w:w="2000" w:type="dxa"/>
                  <w:tcBorders>
                    <w:top w:val="single" w:sz="4" w:space="0" w:color="000000"/>
                    <w:left w:val="single" w:sz="4" w:space="0" w:color="000000"/>
                    <w:bottom w:val="single" w:sz="4" w:space="0" w:color="000000"/>
                    <w:right w:val="single" w:sz="4" w:space="0" w:color="000000"/>
                  </w:tcBorders>
                  <w:shd w:val="clear" w:color="auto" w:fill="D9D9D9"/>
                  <w:tcMar>
                    <w:top w:w="100" w:type="dxa"/>
                    <w:left w:w="120" w:type="dxa"/>
                    <w:bottom w:w="100" w:type="dxa"/>
                    <w:right w:w="120" w:type="dxa"/>
                  </w:tcMar>
                  <w:vAlign w:val="center"/>
                </w:tcPr>
                <w:p>
                  <w:pPr>
                    <w:jc w:val="center"/>
                  </w:pPr>
                  <w:r>
                    <w:rPr>
                      <w:rFonts w:ascii="맑은 고딕" w:eastAsia="맑은 고딕" w:hAnsi="맑은 고딕" w:cs="맑은 고딕"/>
                      <w:b/>
                      <w:bCs/>
                      <w:sz w:val="20"/>
                      <w:szCs w:val="20"/>
                    </w:rPr>
                    <w:t>실행Wf</w:t>
                  </w:r>
                </w:p>
              </w:tc>
              <w:tc>
                <w:tcPr>
                  <w:tcW w:w="2000" w:type="dxa"/>
                  <w:tcBorders>
                    <w:top w:val="single" w:sz="4" w:space="0" w:color="000000"/>
                    <w:left w:val="single" w:sz="4" w:space="0" w:color="000000"/>
                    <w:bottom w:val="single" w:sz="4" w:space="0" w:color="000000"/>
                    <w:right w:val="single" w:sz="4" w:space="0" w:color="000000"/>
                  </w:tcBorders>
                  <w:shd w:val="clear" w:color="auto" w:fill="D9D9D9"/>
                  <w:tcMar>
                    <w:top w:w="100" w:type="dxa"/>
                    <w:left w:w="120" w:type="dxa"/>
                    <w:bottom w:w="100" w:type="dxa"/>
                    <w:right w:w="120" w:type="dxa"/>
                  </w:tcMar>
                  <w:vAlign w:val="center"/>
                </w:tcPr>
                <w:p>
                  <w:pPr>
                    <w:jc w:val="center"/>
                  </w:pPr>
                  <w:r>
                    <w:rPr>
                      <w:rFonts w:ascii="맑은 고딕" w:eastAsia="맑은 고딕" w:hAnsi="맑은 고딕" w:cs="맑은 고딕"/>
                      <w:b/>
                      <w:bCs/>
                      <w:sz w:val="20"/>
                      <w:szCs w:val="20"/>
                    </w:rPr>
                    <w:t>신뢰Wc</w:t>
                  </w:r>
                </w:p>
              </w:tc>
            </w:tr>
            <w:tr>
              <w:tc>
                <w:tcPr>
                  <w:tcW w:w="7800" w:type="dxa"/>
                  <w:tcBorders>
                    <w:top w:val="single" w:sz="4" w:space="0" w:color="000000"/>
                    <w:left w:val="single" w:sz="4" w:space="0" w:color="000000"/>
                    <w:bottom w:val="single" w:sz="4" w:space="0" w:color="000000"/>
                    <w:right w:val="single" w:sz="4" w:space="0" w:color="000000"/>
                  </w:tcBorders>
                  <w:tcMar>
                    <w:top w:w="100" w:type="dxa"/>
                    <w:left w:w="140" w:type="dxa"/>
                    <w:bottom w:w="100" w:type="dxa"/>
                    <w:right w:w="140" w:type="dxa"/>
                  </w:tcMar>
                  <w:vAlign w:val="center"/>
                </w:tcPr>
                <w:p>
                  <w:pPr>
                    <w:spacing w:after="80" w:line="280"/>
                  </w:pPr>
                  <w:r>
                    <w:rPr>
                      <w:rFonts w:ascii="맑은 고딕" w:eastAsia="맑은 고딕" w:hAnsi="맑은 고딕" w:cs="맑은 고딕"/>
                      <w:sz w:val="20"/>
                      <w:szCs w:val="20"/>
                    </w:rPr>
                    <w:t>기본 균형(default)</w:t>
                  </w:r>
                </w:p>
              </w:tc>
              <w:tc>
                <w:tcPr>
                  <w:tcW w:w="7800" w:type="dxa"/>
                  <w:tcBorders>
                    <w:top w:val="single" w:sz="4" w:space="0" w:color="000000"/>
                    <w:left w:val="single" w:sz="4" w:space="0" w:color="000000"/>
                    <w:bottom w:val="single" w:sz="4" w:space="0" w:color="000000"/>
                    <w:right w:val="single" w:sz="4" w:space="0" w:color="000000"/>
                  </w:tcBorders>
                  <w:tcMar>
                    <w:top w:w="100" w:type="dxa"/>
                    <w:left w:w="140" w:type="dxa"/>
                    <w:bottom w:w="100" w:type="dxa"/>
                    <w:right w:w="140" w:type="dxa"/>
                  </w:tcMar>
                  <w:vAlign w:val="center"/>
                </w:tcPr>
                <w:p>
                  <w:pPr>
                    <w:spacing w:after="80" w:line="280"/>
                  </w:pPr>
                  <w:r>
                    <w:rPr>
                      <w:rFonts w:ascii="맑은 고딕" w:eastAsia="맑은 고딕" w:hAnsi="맑은 고딕" w:cs="맑은 고딕"/>
                      <w:sz w:val="20"/>
                      <w:szCs w:val="20"/>
                    </w:rPr>
                    <w:t>30%</w:t>
                  </w:r>
                </w:p>
              </w:tc>
              <w:tc>
                <w:tcPr>
                  <w:tcW w:w="7800" w:type="dxa"/>
                  <w:tcBorders>
                    <w:top w:val="single" w:sz="4" w:space="0" w:color="000000"/>
                    <w:left w:val="single" w:sz="4" w:space="0" w:color="000000"/>
                    <w:bottom w:val="single" w:sz="4" w:space="0" w:color="000000"/>
                    <w:right w:val="single" w:sz="4" w:space="0" w:color="000000"/>
                  </w:tcBorders>
                  <w:tcMar>
                    <w:top w:w="100" w:type="dxa"/>
                    <w:left w:w="140" w:type="dxa"/>
                    <w:bottom w:w="100" w:type="dxa"/>
                    <w:right w:w="140" w:type="dxa"/>
                  </w:tcMar>
                  <w:vAlign w:val="center"/>
                </w:tcPr>
                <w:p>
                  <w:pPr>
                    <w:spacing w:after="80" w:line="280"/>
                  </w:pPr>
                  <w:r>
                    <w:rPr>
                      <w:rFonts w:ascii="맑은 고딕" w:eastAsia="맑은 고딕" w:hAnsi="맑은 고딕" w:cs="맑은 고딕"/>
                      <w:sz w:val="20"/>
                      <w:szCs w:val="20"/>
                    </w:rPr>
                    <w:t>25%</w:t>
                  </w:r>
                </w:p>
              </w:tc>
              <w:tc>
                <w:tcPr>
                  <w:tcW w:w="7800" w:type="dxa"/>
                  <w:tcBorders>
                    <w:top w:val="single" w:sz="4" w:space="0" w:color="000000"/>
                    <w:left w:val="single" w:sz="4" w:space="0" w:color="000000"/>
                    <w:bottom w:val="single" w:sz="4" w:space="0" w:color="000000"/>
                    <w:right w:val="single" w:sz="4" w:space="0" w:color="000000"/>
                  </w:tcBorders>
                  <w:tcMar>
                    <w:top w:w="100" w:type="dxa"/>
                    <w:left w:w="140" w:type="dxa"/>
                    <w:bottom w:w="100" w:type="dxa"/>
                    <w:right w:w="140" w:type="dxa"/>
                  </w:tcMar>
                  <w:vAlign w:val="center"/>
                </w:tcPr>
                <w:p>
                  <w:pPr>
                    <w:spacing w:after="80" w:line="280"/>
                  </w:pPr>
                  <w:r>
                    <w:rPr>
                      <w:rFonts w:ascii="맑은 고딕" w:eastAsia="맑은 고딕" w:hAnsi="맑은 고딕" w:cs="맑은 고딕"/>
                      <w:sz w:val="20"/>
                      <w:szCs w:val="20"/>
                    </w:rPr>
                    <w:t>25%</w:t>
                  </w:r>
                </w:p>
              </w:tc>
              <w:tc>
                <w:tcPr>
                  <w:tcW w:w="7800" w:type="dxa"/>
                  <w:tcBorders>
                    <w:top w:val="single" w:sz="4" w:space="0" w:color="000000"/>
                    <w:left w:val="single" w:sz="4" w:space="0" w:color="000000"/>
                    <w:bottom w:val="single" w:sz="4" w:space="0" w:color="000000"/>
                    <w:right w:val="single" w:sz="4" w:space="0" w:color="000000"/>
                  </w:tcBorders>
                  <w:tcMar>
                    <w:top w:w="100" w:type="dxa"/>
                    <w:left w:w="140" w:type="dxa"/>
                    <w:bottom w:w="100" w:type="dxa"/>
                    <w:right w:w="140" w:type="dxa"/>
                  </w:tcMar>
                  <w:vAlign w:val="center"/>
                </w:tcPr>
                <w:p>
                  <w:pPr>
                    <w:spacing w:after="80" w:line="280"/>
                  </w:pPr>
                  <w:r>
                    <w:rPr>
                      <w:rFonts w:ascii="맑은 고딕" w:eastAsia="맑은 고딕" w:hAnsi="맑은 고딕" w:cs="맑은 고딕"/>
                      <w:sz w:val="20"/>
                      <w:szCs w:val="20"/>
                    </w:rPr>
                    <w:t>10%</w:t>
                  </w:r>
                </w:p>
              </w:tc>
              <w:tc>
                <w:tcPr>
                  <w:tcW w:w="7800" w:type="dxa"/>
                  <w:tcBorders>
                    <w:top w:val="single" w:sz="4" w:space="0" w:color="000000"/>
                    <w:left w:val="single" w:sz="4" w:space="0" w:color="000000"/>
                    <w:bottom w:val="single" w:sz="4" w:space="0" w:color="000000"/>
                    <w:right w:val="single" w:sz="4" w:space="0" w:color="000000"/>
                  </w:tcBorders>
                  <w:tcMar>
                    <w:top w:w="100" w:type="dxa"/>
                    <w:left w:w="140" w:type="dxa"/>
                    <w:bottom w:w="100" w:type="dxa"/>
                    <w:right w:w="140" w:type="dxa"/>
                  </w:tcMar>
                  <w:vAlign w:val="center"/>
                </w:tcPr>
                <w:p>
                  <w:pPr>
                    <w:spacing w:after="80" w:line="280"/>
                  </w:pPr>
                  <w:r>
                    <w:rPr>
                      <w:rFonts w:ascii="맑은 고딕" w:eastAsia="맑은 고딕" w:hAnsi="맑은 고딕" w:cs="맑은 고딕"/>
                      <w:sz w:val="20"/>
                      <w:szCs w:val="20"/>
                    </w:rPr>
                    <w:t>10%</w:t>
                  </w:r>
                </w:p>
              </w:tc>
            </w:tr>
            <w:tr>
              <w:tc>
                <w:tcPr>
                  <w:tcW w:w="7800" w:type="dxa"/>
                  <w:tcBorders>
                    <w:top w:val="single" w:sz="4" w:space="0" w:color="000000"/>
                    <w:left w:val="single" w:sz="4" w:space="0" w:color="000000"/>
                    <w:bottom w:val="single" w:sz="4" w:space="0" w:color="000000"/>
                    <w:right w:val="single" w:sz="4" w:space="0" w:color="000000"/>
                  </w:tcBorders>
                  <w:tcMar>
                    <w:top w:w="100" w:type="dxa"/>
                    <w:left w:w="140" w:type="dxa"/>
                    <w:bottom w:w="100" w:type="dxa"/>
                    <w:right w:w="140" w:type="dxa"/>
                  </w:tcMar>
                  <w:vAlign w:val="center"/>
                </w:tcPr>
                <w:p>
                  <w:pPr>
                    <w:spacing w:after="80" w:line="280"/>
                  </w:pPr>
                  <w:r>
                    <w:rPr>
                      <w:rFonts w:ascii="맑은 고딕" w:eastAsia="맑은 고딕" w:hAnsi="맑은 고딕" w:cs="맑은 고딕"/>
                      <w:sz w:val="20"/>
                      <w:szCs w:val="20"/>
                    </w:rPr>
                    <w:t>박미경2022(park2022)</w:t>
                  </w:r>
                </w:p>
              </w:tc>
              <w:tc>
                <w:tcPr>
                  <w:tcW w:w="7800" w:type="dxa"/>
                  <w:tcBorders>
                    <w:top w:val="single" w:sz="4" w:space="0" w:color="000000"/>
                    <w:left w:val="single" w:sz="4" w:space="0" w:color="000000"/>
                    <w:bottom w:val="single" w:sz="4" w:space="0" w:color="000000"/>
                    <w:right w:val="single" w:sz="4" w:space="0" w:color="000000"/>
                  </w:tcBorders>
                  <w:tcMar>
                    <w:top w:w="100" w:type="dxa"/>
                    <w:left w:w="140" w:type="dxa"/>
                    <w:bottom w:w="100" w:type="dxa"/>
                    <w:right w:w="140" w:type="dxa"/>
                  </w:tcMar>
                  <w:vAlign w:val="center"/>
                </w:tcPr>
                <w:p>
                  <w:pPr>
                    <w:spacing w:after="80" w:line="280"/>
                  </w:pPr>
                  <w:r>
                    <w:rPr>
                      <w:rFonts w:ascii="맑은 고딕" w:eastAsia="맑은 고딕" w:hAnsi="맑은 고딕" w:cs="맑은 고딕"/>
                      <w:sz w:val="20"/>
                      <w:szCs w:val="20"/>
                    </w:rPr>
                    <w:t>40%</w:t>
                  </w:r>
                </w:p>
              </w:tc>
              <w:tc>
                <w:tcPr>
                  <w:tcW w:w="7800" w:type="dxa"/>
                  <w:tcBorders>
                    <w:top w:val="single" w:sz="4" w:space="0" w:color="000000"/>
                    <w:left w:val="single" w:sz="4" w:space="0" w:color="000000"/>
                    <w:bottom w:val="single" w:sz="4" w:space="0" w:color="000000"/>
                    <w:right w:val="single" w:sz="4" w:space="0" w:color="000000"/>
                  </w:tcBorders>
                  <w:tcMar>
                    <w:top w:w="100" w:type="dxa"/>
                    <w:left w:w="140" w:type="dxa"/>
                    <w:bottom w:w="100" w:type="dxa"/>
                    <w:right w:w="140" w:type="dxa"/>
                  </w:tcMar>
                  <w:vAlign w:val="center"/>
                </w:tcPr>
                <w:p>
                  <w:pPr>
                    <w:spacing w:after="80" w:line="280"/>
                  </w:pPr>
                  <w:r>
                    <w:rPr>
                      <w:rFonts w:ascii="맑은 고딕" w:eastAsia="맑은 고딕" w:hAnsi="맑은 고딕" w:cs="맑은 고딕"/>
                      <w:sz w:val="20"/>
                      <w:szCs w:val="20"/>
                    </w:rPr>
                    <w:t>20%</w:t>
                  </w:r>
                </w:p>
              </w:tc>
              <w:tc>
                <w:tcPr>
                  <w:tcW w:w="7800" w:type="dxa"/>
                  <w:tcBorders>
                    <w:top w:val="single" w:sz="4" w:space="0" w:color="000000"/>
                    <w:left w:val="single" w:sz="4" w:space="0" w:color="000000"/>
                    <w:bottom w:val="single" w:sz="4" w:space="0" w:color="000000"/>
                    <w:right w:val="single" w:sz="4" w:space="0" w:color="000000"/>
                  </w:tcBorders>
                  <w:tcMar>
                    <w:top w:w="100" w:type="dxa"/>
                    <w:left w:w="140" w:type="dxa"/>
                    <w:bottom w:w="100" w:type="dxa"/>
                    <w:right w:w="140" w:type="dxa"/>
                  </w:tcMar>
                  <w:vAlign w:val="center"/>
                </w:tcPr>
                <w:p>
                  <w:pPr>
                    <w:spacing w:after="80" w:line="280"/>
                  </w:pPr>
                  <w:r>
                    <w:rPr>
                      <w:rFonts w:ascii="맑은 고딕" w:eastAsia="맑은 고딕" w:hAnsi="맑은 고딕" w:cs="맑은 고딕"/>
                      <w:sz w:val="20"/>
                      <w:szCs w:val="20"/>
                    </w:rPr>
                    <w:t>20%</w:t>
                  </w:r>
                </w:p>
              </w:tc>
              <w:tc>
                <w:tcPr>
                  <w:tcW w:w="7800" w:type="dxa"/>
                  <w:tcBorders>
                    <w:top w:val="single" w:sz="4" w:space="0" w:color="000000"/>
                    <w:left w:val="single" w:sz="4" w:space="0" w:color="000000"/>
                    <w:bottom w:val="single" w:sz="4" w:space="0" w:color="000000"/>
                    <w:right w:val="single" w:sz="4" w:space="0" w:color="000000"/>
                  </w:tcBorders>
                  <w:tcMar>
                    <w:top w:w="100" w:type="dxa"/>
                    <w:left w:w="140" w:type="dxa"/>
                    <w:bottom w:w="100" w:type="dxa"/>
                    <w:right w:w="140" w:type="dxa"/>
                  </w:tcMar>
                  <w:vAlign w:val="center"/>
                </w:tcPr>
                <w:p>
                  <w:pPr>
                    <w:spacing w:after="80" w:line="280"/>
                  </w:pPr>
                  <w:r>
                    <w:rPr>
                      <w:rFonts w:ascii="맑은 고딕" w:eastAsia="맑은 고딕" w:hAnsi="맑은 고딕" w:cs="맑은 고딕"/>
                      <w:sz w:val="20"/>
                      <w:szCs w:val="20"/>
                    </w:rPr>
                    <w:t>10%</w:t>
                  </w:r>
                </w:p>
              </w:tc>
              <w:tc>
                <w:tcPr>
                  <w:tcW w:w="7800" w:type="dxa"/>
                  <w:tcBorders>
                    <w:top w:val="single" w:sz="4" w:space="0" w:color="000000"/>
                    <w:left w:val="single" w:sz="4" w:space="0" w:color="000000"/>
                    <w:bottom w:val="single" w:sz="4" w:space="0" w:color="000000"/>
                    <w:right w:val="single" w:sz="4" w:space="0" w:color="000000"/>
                  </w:tcBorders>
                  <w:tcMar>
                    <w:top w:w="100" w:type="dxa"/>
                    <w:left w:w="140" w:type="dxa"/>
                    <w:bottom w:w="100" w:type="dxa"/>
                    <w:right w:w="140" w:type="dxa"/>
                  </w:tcMar>
                  <w:vAlign w:val="center"/>
                </w:tcPr>
                <w:p>
                  <w:pPr>
                    <w:spacing w:after="80" w:line="280"/>
                  </w:pPr>
                  <w:r>
                    <w:rPr>
                      <w:rFonts w:ascii="맑은 고딕" w:eastAsia="맑은 고딕" w:hAnsi="맑은 고딕" w:cs="맑은 고딕"/>
                      <w:sz w:val="20"/>
                      <w:szCs w:val="20"/>
                    </w:rPr>
                    <w:t>10%</w:t>
                  </w:r>
                </w:p>
              </w:tc>
            </w:tr>
            <w:tr>
              <w:tc>
                <w:tcPr>
                  <w:tcW w:w="7800" w:type="dxa"/>
                  <w:tcBorders>
                    <w:top w:val="single" w:sz="4" w:space="0" w:color="000000"/>
                    <w:left w:val="single" w:sz="4" w:space="0" w:color="000000"/>
                    <w:bottom w:val="single" w:sz="4" w:space="0" w:color="000000"/>
                    <w:right w:val="single" w:sz="4" w:space="0" w:color="000000"/>
                  </w:tcBorders>
                  <w:tcMar>
                    <w:top w:w="100" w:type="dxa"/>
                    <w:left w:w="140" w:type="dxa"/>
                    <w:bottom w:w="100" w:type="dxa"/>
                    <w:right w:w="140" w:type="dxa"/>
                  </w:tcMar>
                  <w:vAlign w:val="center"/>
                </w:tcPr>
                <w:p>
                  <w:pPr>
                    <w:spacing w:after="80" w:line="280"/>
                  </w:pPr>
                  <w:r>
                    <w:rPr>
                      <w:rFonts w:ascii="맑은 고딕" w:eastAsia="맑은 고딕" w:hAnsi="맑은 고딕" w:cs="맑은 고딕"/>
                      <w:sz w:val="20"/>
                      <w:szCs w:val="20"/>
                    </w:rPr>
                    <w:t>KICCE2023(kicce2023)</w:t>
                  </w:r>
                </w:p>
              </w:tc>
              <w:tc>
                <w:tcPr>
                  <w:tcW w:w="7800" w:type="dxa"/>
                  <w:tcBorders>
                    <w:top w:val="single" w:sz="4" w:space="0" w:color="000000"/>
                    <w:left w:val="single" w:sz="4" w:space="0" w:color="000000"/>
                    <w:bottom w:val="single" w:sz="4" w:space="0" w:color="000000"/>
                    <w:right w:val="single" w:sz="4" w:space="0" w:color="000000"/>
                  </w:tcBorders>
                  <w:tcMar>
                    <w:top w:w="100" w:type="dxa"/>
                    <w:left w:w="140" w:type="dxa"/>
                    <w:bottom w:w="100" w:type="dxa"/>
                    <w:right w:w="140" w:type="dxa"/>
                  </w:tcMar>
                  <w:vAlign w:val="center"/>
                </w:tcPr>
                <w:p>
                  <w:pPr>
                    <w:spacing w:after="80" w:line="280"/>
                  </w:pPr>
                  <w:r>
                    <w:rPr>
                      <w:rFonts w:ascii="맑은 고딕" w:eastAsia="맑은 고딕" w:hAnsi="맑은 고딕" w:cs="맑은 고딕"/>
                      <w:sz w:val="20"/>
                      <w:szCs w:val="20"/>
                    </w:rPr>
                    <w:t>20%</w:t>
                  </w:r>
                </w:p>
              </w:tc>
              <w:tc>
                <w:tcPr>
                  <w:tcW w:w="7800" w:type="dxa"/>
                  <w:tcBorders>
                    <w:top w:val="single" w:sz="4" w:space="0" w:color="000000"/>
                    <w:left w:val="single" w:sz="4" w:space="0" w:color="000000"/>
                    <w:bottom w:val="single" w:sz="4" w:space="0" w:color="000000"/>
                    <w:right w:val="single" w:sz="4" w:space="0" w:color="000000"/>
                  </w:tcBorders>
                  <w:tcMar>
                    <w:top w:w="100" w:type="dxa"/>
                    <w:left w:w="140" w:type="dxa"/>
                    <w:bottom w:w="100" w:type="dxa"/>
                    <w:right w:w="140" w:type="dxa"/>
                  </w:tcMar>
                  <w:vAlign w:val="center"/>
                </w:tcPr>
                <w:p>
                  <w:pPr>
                    <w:spacing w:after="80" w:line="280"/>
                  </w:pPr>
                  <w:r>
                    <w:rPr>
                      <w:rFonts w:ascii="맑은 고딕" w:eastAsia="맑은 고딕" w:hAnsi="맑은 고딕" w:cs="맑은 고딕"/>
                      <w:sz w:val="20"/>
                      <w:szCs w:val="20"/>
                    </w:rPr>
                    <w:t>40%</w:t>
                  </w:r>
                </w:p>
              </w:tc>
              <w:tc>
                <w:tcPr>
                  <w:tcW w:w="7800" w:type="dxa"/>
                  <w:tcBorders>
                    <w:top w:val="single" w:sz="4" w:space="0" w:color="000000"/>
                    <w:left w:val="single" w:sz="4" w:space="0" w:color="000000"/>
                    <w:bottom w:val="single" w:sz="4" w:space="0" w:color="000000"/>
                    <w:right w:val="single" w:sz="4" w:space="0" w:color="000000"/>
                  </w:tcBorders>
                  <w:tcMar>
                    <w:top w:w="100" w:type="dxa"/>
                    <w:left w:w="140" w:type="dxa"/>
                    <w:bottom w:w="100" w:type="dxa"/>
                    <w:right w:w="140" w:type="dxa"/>
                  </w:tcMar>
                  <w:vAlign w:val="center"/>
                </w:tcPr>
                <w:p>
                  <w:pPr>
                    <w:spacing w:after="80" w:line="280"/>
                  </w:pPr>
                  <w:r>
                    <w:rPr>
                      <w:rFonts w:ascii="맑은 고딕" w:eastAsia="맑은 고딕" w:hAnsi="맑은 고딕" w:cs="맑은 고딕"/>
                      <w:sz w:val="20"/>
                      <w:szCs w:val="20"/>
                    </w:rPr>
                    <w:t>20%</w:t>
                  </w:r>
                </w:p>
              </w:tc>
              <w:tc>
                <w:tcPr>
                  <w:tcW w:w="7800" w:type="dxa"/>
                  <w:tcBorders>
                    <w:top w:val="single" w:sz="4" w:space="0" w:color="000000"/>
                    <w:left w:val="single" w:sz="4" w:space="0" w:color="000000"/>
                    <w:bottom w:val="single" w:sz="4" w:space="0" w:color="000000"/>
                    <w:right w:val="single" w:sz="4" w:space="0" w:color="000000"/>
                  </w:tcBorders>
                  <w:tcMar>
                    <w:top w:w="100" w:type="dxa"/>
                    <w:left w:w="140" w:type="dxa"/>
                    <w:bottom w:w="100" w:type="dxa"/>
                    <w:right w:w="140" w:type="dxa"/>
                  </w:tcMar>
                  <w:vAlign w:val="center"/>
                </w:tcPr>
                <w:p>
                  <w:pPr>
                    <w:spacing w:after="80" w:line="280"/>
                  </w:pPr>
                  <w:r>
                    <w:rPr>
                      <w:rFonts w:ascii="맑은 고딕" w:eastAsia="맑은 고딕" w:hAnsi="맑은 고딕" w:cs="맑은 고딕"/>
                      <w:sz w:val="20"/>
                      <w:szCs w:val="20"/>
                    </w:rPr>
                    <w:t>10%</w:t>
                  </w:r>
                </w:p>
              </w:tc>
              <w:tc>
                <w:tcPr>
                  <w:tcW w:w="7800" w:type="dxa"/>
                  <w:tcBorders>
                    <w:top w:val="single" w:sz="4" w:space="0" w:color="000000"/>
                    <w:left w:val="single" w:sz="4" w:space="0" w:color="000000"/>
                    <w:bottom w:val="single" w:sz="4" w:space="0" w:color="000000"/>
                    <w:right w:val="single" w:sz="4" w:space="0" w:color="000000"/>
                  </w:tcBorders>
                  <w:tcMar>
                    <w:top w:w="100" w:type="dxa"/>
                    <w:left w:w="140" w:type="dxa"/>
                    <w:bottom w:w="100" w:type="dxa"/>
                    <w:right w:w="140" w:type="dxa"/>
                  </w:tcMar>
                  <w:vAlign w:val="center"/>
                </w:tcPr>
                <w:p>
                  <w:pPr>
                    <w:spacing w:after="80" w:line="280"/>
                  </w:pPr>
                  <w:r>
                    <w:rPr>
                      <w:rFonts w:ascii="맑은 고딕" w:eastAsia="맑은 고딕" w:hAnsi="맑은 고딕" w:cs="맑은 고딕"/>
                      <w:sz w:val="20"/>
                      <w:szCs w:val="20"/>
                    </w:rPr>
                    <w:t>10%</w:t>
                  </w:r>
                </w:p>
              </w:tc>
            </w:tr>
          </w:tbl>
          <w:p/>
        </w:tc>
      </w:tr>
      <w:tr>
        <w:tc>
          <w:tcPr>
            <w:tcW w:w="2000" w:type="dxa"/>
            <w:tcBorders>
              <w:top w:val="single" w:sz="4" w:space="0" w:color="000000"/>
              <w:left w:val="single" w:sz="4" w:space="0" w:color="000000"/>
              <w:bottom w:val="single" w:sz="4" w:space="0" w:color="000000"/>
              <w:right w:val="single" w:sz="4" w:space="0" w:color="000000"/>
            </w:tcBorders>
            <w:shd w:val="clear" w:color="auto" w:fill="D9D9D9"/>
            <w:tcMar>
              <w:top w:w="100" w:type="dxa"/>
              <w:left w:w="120" w:type="dxa"/>
              <w:bottom w:w="100" w:type="dxa"/>
              <w:right w:w="120" w:type="dxa"/>
            </w:tcMar>
            <w:vAlign w:val="center"/>
          </w:tcPr>
          <w:p>
            <w:pPr>
              <w:jc w:val="center"/>
            </w:pPr>
            <w:r>
              <w:rPr>
                <w:rFonts w:ascii="맑은 고딕" w:eastAsia="맑은 고딕" w:hAnsi="맑은 고딕" w:cs="맑은 고딕"/>
                <w:b/>
                <w:bCs/>
                <w:sz w:val="20"/>
                <w:szCs w:val="20"/>
              </w:rPr>
              <w:t>학습 방법</w:t>
            </w:r>
          </w:p>
        </w:tc>
        <w:tc>
          <w:tcPr>
            <w:tcW w:w="7800" w:type="dxa"/>
            <w:tcBorders>
              <w:top w:val="single" w:sz="4" w:space="0" w:color="000000"/>
              <w:left w:val="single" w:sz="4" w:space="0" w:color="000000"/>
              <w:bottom w:val="single" w:sz="4" w:space="0" w:color="000000"/>
              <w:right w:val="single" w:sz="4" w:space="0" w:color="000000"/>
            </w:tcBorders>
            <w:tcMar>
              <w:top w:w="100" w:type="dxa"/>
              <w:left w:w="140" w:type="dxa"/>
              <w:bottom w:w="100" w:type="dxa"/>
              <w:right w:w="140" w:type="dxa"/>
            </w:tcMar>
            <w:vAlign w:val="center"/>
          </w:tcPr>
          <w:p>
            <w:pPr>
              <w:spacing w:after="80" w:line="280"/>
            </w:pPr>
            <w:r>
              <w:rPr>
                <w:rFonts w:ascii="맑은 고딕" w:eastAsia="맑은 고딕" w:hAnsi="맑은 고딕" w:cs="맑은 고딕"/>
                <w:sz w:val="20"/>
                <w:szCs w:val="20"/>
              </w:rPr>
              <w:t>ML 학습이 아닌, 학술 연구 근거 기반으로 고정 설계된 가중치를 사용. 정책 공급 공백 점수는 다음 하위 공식으로 별도 산정:</w:t>
            </w:r>
          </w:p>
          <w:p>
            <w:pPr>
              <w:pStyle w:val="ListParagraph"/>
              <w:numPr>
                <w:ilvl w:val="0"/>
                <w:numId w:val="1"/>
              </w:numPr>
              <w:spacing w:after="80" w:line="280"/>
            </w:pPr>
            <w:r>
              <w:rPr>
                <w:rFonts w:ascii="맑은 고딕" w:eastAsia="맑은 고딕" w:hAnsi="맑은 고딕" w:cs="맑은 고딕"/>
                <w:sz w:val="20"/>
                <w:szCs w:val="20"/>
              </w:rPr>
              <w:t>정책 공급 공백 점수 = 0.6×미해결도(unresolved) + 0.4×(100－기존 정책 커버리지)</w:t>
            </w:r>
          </w:p>
          <w:p>
            <w:pPr>
              <w:pStyle w:val="ListParagraph"/>
              <w:numPr>
                <w:ilvl w:val="0"/>
                <w:numId w:val="1"/>
              </w:numPr>
              <w:spacing w:after="80" w:line="280"/>
            </w:pPr>
            <w:r>
              <w:rPr>
                <w:rFonts w:ascii="맑은 고딕" w:eastAsia="맑은 고딕" w:hAnsi="맑은 고딕" w:cs="맑은 고딕"/>
                <w:sz w:val="20"/>
                <w:szCs w:val="20"/>
              </w:rPr>
              <w:t>미해결도: 클러스터 내 시민제안 중 '검토중'이거나 민원이 미해결로 남은 비율의 평균</w:t>
            </w:r>
          </w:p>
          <w:p>
            <w:pPr>
              <w:pStyle w:val="ListParagraph"/>
              <w:numPr>
                <w:ilvl w:val="0"/>
                <w:numId w:val="1"/>
              </w:numPr>
              <w:spacing w:after="80" w:line="280"/>
            </w:pPr>
            <w:r>
              <w:rPr>
                <w:rFonts w:ascii="맑은 고딕" w:eastAsia="맑은 고딕" w:hAnsi="맑은 고딕" w:cs="맑은 고딕"/>
                <w:sz w:val="20"/>
                <w:szCs w:val="20"/>
              </w:rPr>
              <w:t>정책 커버리지: 몽땅정보통 322개 사업 중 해당 분류에 실제 공급 중인 사업의 유효성 비율</w:t>
            </w:r>
          </w:p>
          <w:p>
            <w:pPr>
              <w:pStyle w:val="ListParagraph"/>
              <w:numPr>
                <w:ilvl w:val="0"/>
                <w:numId w:val="1"/>
              </w:numPr>
              <w:spacing w:after="80" w:line="280"/>
            </w:pPr>
            <w:r>
              <w:rPr>
                <w:rFonts w:ascii="맑은 고딕" w:eastAsia="맑은 고딕" w:hAnsi="맑은 고딕" w:cs="맑은 고딕"/>
                <w:sz w:val="20"/>
                <w:szCs w:val="20"/>
              </w:rPr>
              <w:t>사용 특성: 제안·추천·댓글 수(로그 스케일+최신성 가중), 민원 유입 속도, 위기·안전 키워드 가산점, 조례 제정 용이성·예산 규모(실행 가능성), 표본 크기·출처 다양성(신뢰도)</w:t>
            </w:r>
          </w:p>
        </w:tc>
      </w:tr>
      <w:tr>
        <w:tc>
          <w:tcPr>
            <w:gridSpan w:val="2"/>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r>
              <w:rPr>
                <w:rFonts w:ascii="맑은 고딕" w:eastAsia="맑은 고딕" w:hAnsi="맑은 고딕" w:cs="맑은 고딕"/>
                <w:b/>
                <w:bCs/>
                <w:sz w:val="20"/>
                <w:szCs w:val="20"/>
              </w:rPr>
              <w:t>4) 검증</w:t>
            </w:r>
          </w:p>
        </w:tc>
      </w:tr>
      <w:tr>
        <w:tc>
          <w:tcPr>
            <w:tcW w:w="2000" w:type="dxa"/>
            <w:tcBorders>
              <w:top w:val="single" w:sz="4" w:space="0" w:color="000000"/>
              <w:left w:val="single" w:sz="4" w:space="0" w:color="000000"/>
              <w:bottom w:val="single" w:sz="4" w:space="0" w:color="000000"/>
              <w:right w:val="single" w:sz="4" w:space="0" w:color="000000"/>
            </w:tcBorders>
            <w:shd w:val="clear" w:color="auto" w:fill="D9D9D9"/>
            <w:tcMar>
              <w:top w:w="100" w:type="dxa"/>
              <w:left w:w="120" w:type="dxa"/>
              <w:bottom w:w="100" w:type="dxa"/>
              <w:right w:w="120" w:type="dxa"/>
            </w:tcMar>
            <w:vAlign w:val="center"/>
          </w:tcPr>
          <w:p>
            <w:pPr>
              <w:jc w:val="center"/>
            </w:pPr>
            <w:r>
              <w:rPr>
                <w:rFonts w:ascii="맑은 고딕" w:eastAsia="맑은 고딕" w:hAnsi="맑은 고딕" w:cs="맑은 고딕"/>
                <w:b/>
                <w:bCs/>
                <w:sz w:val="20"/>
                <w:szCs w:val="20"/>
              </w:rPr>
              <w:t>모델링 검증 방안</w:t>
            </w:r>
          </w:p>
        </w:tc>
        <w:tc>
          <w:tcPr>
            <w:tcW w:w="7800" w:type="dxa"/>
            <w:tcBorders>
              <w:top w:val="single" w:sz="4" w:space="0" w:color="000000"/>
              <w:left w:val="single" w:sz="4" w:space="0" w:color="000000"/>
              <w:bottom w:val="single" w:sz="4" w:space="0" w:color="000000"/>
              <w:right w:val="single" w:sz="4" w:space="0" w:color="000000"/>
            </w:tcBorders>
            <w:tcMar>
              <w:top w:w="100" w:type="dxa"/>
              <w:left w:w="140" w:type="dxa"/>
              <w:bottom w:w="100" w:type="dxa"/>
              <w:right w:w="140" w:type="dxa"/>
            </w:tcMar>
            <w:vAlign w:val="center"/>
          </w:tcPr>
          <w:p>
            <w:pPr>
              <w:spacing w:after="80" w:line="280"/>
            </w:pPr>
            <w:r>
              <w:rPr>
                <w:rFonts w:ascii="맑은 고딕" w:eastAsia="맑은 고딕" w:hAnsi="맑은 고딕" w:cs="맑은 고딕"/>
                <w:sz w:val="20"/>
                <w:szCs w:val="20"/>
              </w:rPr>
              <w:t>6대 핵심 학술·정책 연구([가설→테스트/분석기법→실증 검증→대시보드 이식 결론] 4단계 파이프라인)를 근거로 가중치 및 지표 설계의 타당성을 검증.</w:t>
            </w:r>
          </w:p>
        </w:tc>
      </w:tr>
      <w:tr>
        <w:tc>
          <w:tcPr>
            <w:tcW w:w="2000" w:type="dxa"/>
            <w:tcBorders>
              <w:top w:val="single" w:sz="4" w:space="0" w:color="000000"/>
              <w:left w:val="single" w:sz="4" w:space="0" w:color="000000"/>
              <w:bottom w:val="single" w:sz="4" w:space="0" w:color="000000"/>
              <w:right w:val="single" w:sz="4" w:space="0" w:color="000000"/>
            </w:tcBorders>
            <w:shd w:val="clear" w:color="auto" w:fill="D9D9D9"/>
            <w:tcMar>
              <w:top w:w="100" w:type="dxa"/>
              <w:left w:w="120" w:type="dxa"/>
              <w:bottom w:w="100" w:type="dxa"/>
              <w:right w:w="120" w:type="dxa"/>
            </w:tcMar>
            <w:vAlign w:val="center"/>
          </w:tcPr>
          <w:p>
            <w:pPr>
              <w:jc w:val="center"/>
            </w:pPr>
            <w:r>
              <w:rPr>
                <w:rFonts w:ascii="맑은 고딕" w:eastAsia="맑은 고딕" w:hAnsi="맑은 고딕" w:cs="맑은 고딕"/>
                <w:b/>
                <w:bCs/>
                <w:sz w:val="20"/>
                <w:szCs w:val="20"/>
              </w:rPr>
              <w:t>결과</w:t>
            </w:r>
          </w:p>
        </w:tc>
        <w:tc>
          <w:tcPr>
            <w:tcW w:w="7800" w:type="dxa"/>
            <w:tcBorders>
              <w:top w:val="single" w:sz="4" w:space="0" w:color="000000"/>
              <w:left w:val="single" w:sz="4" w:space="0" w:color="000000"/>
              <w:bottom w:val="single" w:sz="4" w:space="0" w:color="000000"/>
              <w:right w:val="single" w:sz="4" w:space="0" w:color="000000"/>
            </w:tcBorders>
            <w:tcMar>
              <w:top w:w="100" w:type="dxa"/>
              <w:left w:w="140" w:type="dxa"/>
              <w:bottom w:w="100" w:type="dxa"/>
              <w:right w:w="140" w:type="dxa"/>
            </w:tcMar>
            <w:vAlign w:val="center"/>
          </w:tcPr>
          <w:p>
            <w:pPr>
              <w:pStyle w:val="ListParagraph"/>
              <w:numPr>
                <w:ilvl w:val="0"/>
                <w:numId w:val="1"/>
              </w:numPr>
              <w:spacing w:after="80" w:line="280"/>
            </w:pPr>
            <w:r>
              <w:rPr>
                <w:rFonts w:ascii="맑은 고딕" w:eastAsia="맑은 고딕" w:hAnsi="맑은 고딕" w:cs="맑은 고딕"/>
                <w:sz w:val="20"/>
                <w:szCs w:val="20"/>
              </w:rPr>
              <w:t>배기련 외(2021, 디지털융복합연구): 대중 댓글 25,800건 텍스트마이닝·감성분석 → 체감 정책 장벽은 '주거·일가정양립'에 있음을 실증 → 주거·노동 갭 지수를 독립 지표로 분리</w:t>
            </w:r>
          </w:p>
          <w:p>
            <w:pPr>
              <w:pStyle w:val="ListParagraph"/>
              <w:numPr>
                <w:ilvl w:val="0"/>
                <w:numId w:val="1"/>
              </w:numPr>
              <w:spacing w:after="80" w:line="280"/>
            </w:pPr>
            <w:r>
              <w:rPr>
                <w:rFonts w:ascii="맑은 고딕" w:eastAsia="맑은 고딕" w:hAnsi="맑은 고딕" w:cs="맑은 고딕"/>
                <w:sz w:val="20"/>
                <w:szCs w:val="20"/>
              </w:rPr>
              <w:t>오신휘·김혜진(2020, 보건사회연구): 752편 메타분석 → 텍스트마이닝 기반 여론 추출이 설문 대비 예측력 우수 → SBERT+NMF 기반 본 시스템의 방법론적 정당성 확보</w:t>
            </w:r>
          </w:p>
          <w:p>
            <w:pPr>
              <w:pStyle w:val="ListParagraph"/>
              <w:numPr>
                <w:ilvl w:val="0"/>
                <w:numId w:val="1"/>
              </w:numPr>
              <w:spacing w:after="80" w:line="280"/>
            </w:pPr>
            <w:r>
              <w:rPr>
                <w:rFonts w:ascii="맑은 고딕" w:eastAsia="맑은 고딕" w:hAnsi="맑은 고딕" w:cs="맑은 고딕"/>
                <w:sz w:val="20"/>
                <w:szCs w:val="20"/>
              </w:rPr>
              <w:t>성낙일·박선권(2012, 한국인구학): 232개 시군구 다중회귀 → 보육 인프라 공급이 출생아 수에 유의미한 정(+)효과 → 자치구별 보육시설 수-민원 불균형을 공백 점수에 연동</w:t>
            </w:r>
          </w:p>
          <w:p>
            <w:pPr>
              <w:pStyle w:val="ListParagraph"/>
              <w:numPr>
                <w:ilvl w:val="0"/>
                <w:numId w:val="1"/>
              </w:numPr>
              <w:spacing w:after="80" w:line="280"/>
            </w:pPr>
            <w:r>
              <w:rPr>
                <w:rFonts w:ascii="맑은 고딕" w:eastAsia="맑은 고딕" w:hAnsi="맑은 고딕" w:cs="맑은 고딕"/>
                <w:sz w:val="20"/>
                <w:szCs w:val="20"/>
              </w:rPr>
              <w:t>육아정책연구소(KICCE, 2023): GIS 공간분석·형평성 모델링 → 공간거리 반영 형평성 모델이 자원배분 효율 개선 → 25개 자치구 인프라 히트맵 및 KICCE2023(공급공백 40%) 모델 탑재</w:t>
            </w:r>
          </w:p>
          <w:p>
            <w:pPr>
              <w:pStyle w:val="ListParagraph"/>
              <w:numPr>
                <w:ilvl w:val="0"/>
                <w:numId w:val="1"/>
              </w:numPr>
              <w:spacing w:after="80" w:line="280"/>
            </w:pPr>
            <w:r>
              <w:rPr>
                <w:rFonts w:ascii="맑은 고딕" w:eastAsia="맑은 고딕" w:hAnsi="맑은 고딕" w:cs="맑은 고딕"/>
                <w:sz w:val="20"/>
                <w:szCs w:val="20"/>
              </w:rPr>
              <w:t>국회예산정책처(NABO, 2025): 280개 유관사업 실태조사 → 사업 분절화로 통합 조율 채널 부재 규명 → R&amp;R 1·2·3순위 자동 라우팅 및 팀별 답변율 대시보드 구축</w:t>
            </w:r>
          </w:p>
          <w:p>
            <w:pPr>
              <w:pStyle w:val="ListParagraph"/>
              <w:numPr>
                <w:ilvl w:val="0"/>
                <w:numId w:val="1"/>
              </w:numPr>
              <w:spacing w:after="80" w:line="280"/>
            </w:pPr>
            <w:r>
              <w:rPr>
                <w:rFonts w:ascii="맑은 고딕" w:eastAsia="맑은 고딕" w:hAnsi="맑은 고딕" w:cs="맑은 고딕"/>
                <w:sz w:val="20"/>
                <w:szCs w:val="20"/>
              </w:rPr>
              <w:t>박미경(2022, 한국가족자원경영학회지): MZ세대 설문·Borich/IPA 분석 → 주택지원·일가정양립 요구도 최상위 실증 → 공감수·시급성에 방점을 둔 박미경2022(시민요구 40%) 모델 반영</w:t>
            </w:r>
          </w:p>
        </w:tc>
      </w:tr>
      <w:tr>
        <w:tc>
          <w:tcPr>
            <w:tcW w:w="2000" w:type="dxa"/>
            <w:tcBorders>
              <w:top w:val="single" w:sz="4" w:space="0" w:color="000000"/>
              <w:left w:val="single" w:sz="4" w:space="0" w:color="000000"/>
              <w:bottom w:val="single" w:sz="4" w:space="0" w:color="000000"/>
              <w:right w:val="single" w:sz="4" w:space="0" w:color="000000"/>
            </w:tcBorders>
            <w:shd w:val="clear" w:color="auto" w:fill="D9D9D9"/>
            <w:tcMar>
              <w:top w:w="100" w:type="dxa"/>
              <w:left w:w="120" w:type="dxa"/>
              <w:bottom w:w="100" w:type="dxa"/>
              <w:right w:w="120" w:type="dxa"/>
            </w:tcMar>
            <w:vAlign w:val="center"/>
          </w:tcPr>
          <w:p>
            <w:pPr>
              <w:jc w:val="center"/>
            </w:pPr>
            <w:r>
              <w:rPr>
                <w:rFonts w:ascii="맑은 고딕" w:eastAsia="맑은 고딕" w:hAnsi="맑은 고딕" w:cs="맑은 고딕"/>
                <w:b/>
                <w:bCs/>
                <w:sz w:val="20"/>
                <w:szCs w:val="20"/>
              </w:rPr>
              <w:t>모델링 결과 및 인사이트</w:t>
            </w:r>
          </w:p>
        </w:tc>
        <w:tc>
          <w:tcPr>
            <w:tcW w:w="7800" w:type="dxa"/>
            <w:tcBorders>
              <w:top w:val="single" w:sz="4" w:space="0" w:color="000000"/>
              <w:left w:val="single" w:sz="4" w:space="0" w:color="000000"/>
              <w:bottom w:val="single" w:sz="4" w:space="0" w:color="000000"/>
              <w:right w:val="single" w:sz="4" w:space="0" w:color="000000"/>
            </w:tcBorders>
            <w:tcMar>
              <w:top w:w="100" w:type="dxa"/>
              <w:left w:w="140" w:type="dxa"/>
              <w:bottom w:w="100" w:type="dxa"/>
              <w:right w:w="140" w:type="dxa"/>
            </w:tcMar>
            <w:vAlign w:val="center"/>
          </w:tcPr>
          <w:p>
            <w:pPr>
              <w:spacing w:after="80" w:line="280"/>
            </w:pPr>
            <w:r>
              <w:rPr>
                <w:rFonts w:ascii="맑은 고딕" w:eastAsia="맑은 고딕" w:hAnsi="맑은 고딕" w:cs="맑은 고딕"/>
                <w:sz w:val="20"/>
                <w:szCs w:val="20"/>
              </w:rPr>
              <w:t>6개 학술 근거가 모두 대시보드 지표·알고리즘에 이식되어, 가중치 모델 변경 시 즉시 우선순위 재정렬이 가능한 설명 가능한(explainable) 의사결정 지원 구조를 확립함.</w:t>
            </w:r>
          </w:p>
          <w:p>
            <w:pPr>
              <w:pStyle w:val="ListParagraph"/>
              <w:numPr>
                <w:ilvl w:val="0"/>
                <w:numId w:val="1"/>
              </w:numPr>
              <w:spacing w:after="80" w:line="280"/>
            </w:pPr>
            <w:r>
              <w:rPr>
                <w:rFonts w:ascii="맑은 고딕" w:eastAsia="맑은 고딕" w:hAnsi="맑은 고딕" w:cs="맑은 고딕"/>
                <w:sz w:val="20"/>
                <w:szCs w:val="20"/>
              </w:rPr>
              <w:t>AI 정책 가설 자동 생성 엔진(getPolicyHypothesis): 군집 선택 시 실제 제안·민원·정책 건수를 대입해 학술 근거 결합 가설을 자동 생성 (수요 건수·공백 점수·신뢰도·근거 논문 수 4개 배지로 표출)</w:t>
            </w:r>
          </w:p>
          <w:p>
            <w:pPr>
              <w:pStyle w:val="ListParagraph"/>
              <w:numPr>
                <w:ilvl w:val="0"/>
                <w:numId w:val="1"/>
              </w:numPr>
              <w:spacing w:after="80" w:line="280"/>
            </w:pPr>
            <w:r>
              <w:rPr>
                <w:rFonts w:ascii="맑은 고딕" w:eastAsia="맑은 고딕" w:hAnsi="맑은 고딕" w:cs="맑은 고딕"/>
                <w:sz w:val="20"/>
                <w:szCs w:val="20"/>
              </w:rPr>
              <w:t>4단계 학술 실증 검증 모달(getAcademicEvidenceItems): 6대 논문 각각의 가설→테스트→결과→결론을 투명하게 공개</w:t>
            </w:r>
          </w:p>
          <w:p>
            <w:pPr>
              <w:pStyle w:val="ListParagraph"/>
              <w:numPr>
                <w:ilvl w:val="0"/>
                <w:numId w:val="1"/>
              </w:numPr>
              <w:spacing w:after="80" w:line="280"/>
            </w:pPr>
            <w:r>
              <w:rPr>
                <w:rFonts w:ascii="맑은 고딕" w:eastAsia="맑은 고딕" w:hAnsi="맑은 고딕" w:cs="맑은 고딕"/>
                <w:sz w:val="20"/>
                <w:szCs w:val="20"/>
              </w:rPr>
              <w:t>대시보드 반영 시 유의점: 미상(서울시 전체) 데이터가 84.5~97.6%에 달해 자치구 단위 가중치 계산 시 반드시 격리·복원 절차를 거쳐야 하며, 그렇지 않으면 특정 구에 왜곡된 우선순위가 배정될 수 있음</w:t>
            </w:r>
          </w:p>
        </w:tc>
      </w:tr>
    </w:tbl>
    <w:p>
      <w:pPr/>
    </w:p>
    <w:sectPr>
      <w:pgSz w:w="11906" w:h="16838"/>
      <w:pgMar w:top="1134" w:right="1134" w:bottom="1134" w:left="1134" w:header="708" w:footer="708" w:gutter="0"/>
      <w:cols/>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w:font w:name="함초롬바탕">
    <w:panose1 w:val="02030604000101010101"/>
    <w:notTrueType w:val="false"/>
    <w:pitch w:val="variable"/>
    <w:sig w:usb0="F70006FF" w:usb1="11DFFFFF" w:usb2="001BFDD7" w:usb3="00000001" w:csb0="001F007F" w:csb1="00000001"/>
  </w:font>
  <w:font w:name="NanumGothic">
    <w:panose1 w:val="020D0604000000000000"/>
    <w:notTrueType w:val="false"/>
    <w:pitch w:val="variable"/>
    <w:sig w:usb0="900002A7" w:usb1="29D7FCFB" w:usb2="00000010" w:usb3="00000001" w:csb0="00080001" w:csb1="00000001"/>
  </w:font>
  <w:font w:name="맑은 고딕">
    <w:panose1 w:val="020B0503020000020004"/>
    <w:notTrueType w:val="false"/>
    <w:pitch w:val="variable"/>
    <w:sig w:usb0="900002AF" w:usb1="69D77CFB" w:usb2="00000032" w:usb3="00000001" w:csb0="00280001" w:csb1="00000001"/>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14="http://schemas.microsoft.com/office/word/2010/wordml" xmlns:wne="http://schemas.microsoft.com/office/word/2006/wordml">
  <w:abstractNum w:abstractNumId="0">
    <w:nsid w:val="aa6041ce"/>
    <w:multiLevelType w:val="hybridMultilevel"/>
    <w:lvl w:ilvl="0" w:tentative="on">
      <w:start w:val="1"/>
      <w:numFmt w:val="bullet"/>
      <w:lvlText w:val="•"/>
      <w:lvlJc w:val="left"/>
      <w:pPr>
        <w:ind w:left="403" w:hanging="259"/>
      </w:pPr>
    </w:lvl>
    <w:lvl w:ilvl="1" w:tentative="on">
      <w:start w:val="1"/>
      <w:numFmt w:val="bullet"/>
      <w:lvlText w:val="-"/>
      <w:lvlJc w:val="left"/>
      <w:pPr>
        <w:ind w:left="792" w:hanging="259"/>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w:removePersonalInformation/>
  <w:displayBackgroundShape/>
  <w:bordersDontSurroundHeader/>
  <w:bordersDontSurroundFooter/>
  <w:hideGrammaticalErrors/>
  <w:proofState w:spelling="clean" w:grammar="clean"/>
  <w:hyphenationZone w:val="360"/>
  <w:stylePaneFormatFilter w:val="4024" w:allStyles="0" w:customStyles="0" w:latentStyles="1" w:stylesInUse="0" w:headingStyles="1" w:numberingStyles="0" w:tableStyles="0" w:directFormattingOnRuns="0" w:directFormattingOnParagraphs="0" w:directFormattingOnNumbering="0" w:directFormattingOnTables="0" w:clearFormatting="0" w:top3HeadingStyles="0" w:visibleStyles="1" w:alternateStyleNames="0"/>
  <w:drawingGridHorizontalSpacing w:val="180"/>
  <w:drawingGridVerticalSpacing w:val="180"/>
  <w:displayHorizontalDrawingGridEvery w:val="1"/>
  <w:displayVerticalDrawingGridEvery w:val="1"/>
  <w:characterSpacingControl w:val="doNotCompress"/>
  <w:compat>
    <w:compatSetting w:name="compatibilityMode" w:uri="http://schemas.microsoft.com/office/word" w:val="11"/>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val="1"/>
    <m:lMargin m:val="0"/>
    <m:rMargin m:val="0"/>
    <m:defJc m:val="centerGroup"/>
    <m:wrapIndent m:val="1440"/>
    <m:wrapRight m:val="0"/>
    <m:intLim m:val="subSup"/>
    <m:naryLim m:val="undOvr"/>
    <m:interSp m:val="0"/>
    <m:intraSp m:val="0"/>
    <m:preSp m:val="0"/>
    <m:postSp m:val="0"/>
  </m:mathPr>
  <w:themeFontLang w:val="LA" w:eastAsia="ko-KR" w:bidi="ar-SA"/>
</w:settings>
</file>

<file path=word/styles.xml><?xml version="1.0" encoding="utf-8"?>
<w:styles xmlns:r="http://schemas.openxmlformats.org/officeDocument/2006/relationships" xmlns:w="http://schemas.openxmlformats.org/wordprocessingml/2006/main" xmlns:w14="http://schemas.microsoft.com/office/word/2010/wordml">
  <w:docDefaults>
    <w:rPrDefault>
      <w:rPr>
        <w:rFonts w:ascii="맑은 고딕" w:eastAsia="맑은 고딕" w:hAnsi="맑은 고딕" w:cs="맑은 고딕"/>
        <w:sz w:val="20"/>
        <w:szCs w:val="20"/>
      </w:rPr>
    </w:rPrDefault>
    <w:pPrDefault>
      <w:pPr/>
    </w:pPrDefault>
  </w:docDefaults>
  <w:latentStyles w:defLockedState="0" w:defUIPriority="99" w:defSemiHidden="0" w:defUnhideWhenUsed="0" w:defQFormat="0" w:count="371">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semiHidden="0" w:uiPriority="9" w:unhideWhenUsed="0" w:qFormat="1"/>
    <w:lsdException w:name="heading 5" w:semiHidden="0" w:uiPriority="9" w:unhideWhenUsed="0" w:qFormat="1"/>
    <w:lsdException w:name="heading 6" w:semiHidden="0" w:uiPriority="9" w:unhideWhenUsed="0" w:qFormat="1"/>
    <w:lsdException w:name="heading 7" w:semiHidden="0" w:uiPriority="9" w:unhideWhenUsed="0" w:qFormat="1"/>
    <w:lsdException w:name="heading 8" w:semiHidden="0" w:uiPriority="9" w:unhideWhenUsed="0" w:qFormat="1"/>
    <w:lsdException w:name="heading 9" w:semiHidden="0" w:uiPriority="9" w:unhideWhenUsed="0" w:qFormat="1"/>
    <w:lsdException w:name="index 1" w:semiHidden="1" w:uiPriority="825" w:unhideWhenUsed="1" w:qFormat="0"/>
    <w:lsdException w:name="index 2" w:semiHidden="1" w:uiPriority="825" w:unhideWhenUsed="1" w:qFormat="0"/>
    <w:lsdException w:name="index 3" w:semiHidden="1" w:uiPriority="825" w:unhideWhenUsed="1" w:qFormat="0"/>
    <w:lsdException w:name="index 4" w:semiHidden="1" w:uiPriority="825" w:unhideWhenUsed="1" w:qFormat="0"/>
    <w:lsdException w:name="index 5" w:semiHidden="1" w:uiPriority="825" w:unhideWhenUsed="1" w:qFormat="0"/>
    <w:lsdException w:name="index 6" w:semiHidden="1" w:uiPriority="825" w:unhideWhenUsed="1" w:qFormat="0"/>
    <w:lsdException w:name="index 7" w:semiHidden="1" w:uiPriority="825" w:unhideWhenUsed="1" w:qFormat="0"/>
    <w:lsdException w:name="index 8" w:semiHidden="1" w:uiPriority="825" w:unhideWhenUsed="1" w:qFormat="0"/>
    <w:lsdException w:name="index 9" w:semiHidden="1" w:uiPriority="825" w:unhideWhenUsed="1" w:qFormat="0"/>
    <w:lsdException w:name="toc 1" w:semiHidden="1" w:uiPriority="135" w:unhideWhenUsed="1" w:qFormat="0"/>
    <w:lsdException w:name="toc 2" w:semiHidden="1" w:uiPriority="135" w:unhideWhenUsed="1" w:qFormat="0"/>
    <w:lsdException w:name="toc 3" w:semiHidden="1" w:uiPriority="135" w:unhideWhenUsed="1" w:qFormat="0"/>
    <w:lsdException w:name="toc 4" w:semiHidden="1" w:uiPriority="135" w:unhideWhenUsed="1" w:qFormat="0"/>
    <w:lsdException w:name="toc 5" w:semiHidden="1" w:uiPriority="135" w:unhideWhenUsed="1" w:qFormat="0"/>
    <w:lsdException w:name="toc 6" w:semiHidden="1" w:uiPriority="135" w:unhideWhenUsed="1" w:qFormat="0"/>
    <w:lsdException w:name="toc 7" w:semiHidden="1" w:uiPriority="135" w:unhideWhenUsed="1" w:qFormat="0"/>
    <w:lsdException w:name="toc 8" w:semiHidden="1" w:uiPriority="135" w:unhideWhenUsed="1" w:qFormat="0"/>
    <w:lsdException w:name="toc 9" w:semiHidden="1" w:uiPriority="135" w:unhideWhenUsed="1" w:qFormat="0"/>
    <w:lsdException w:name="Normal Indent" w:semiHidden="1" w:uiPriority="825" w:unhideWhenUsed="1" w:qFormat="0"/>
    <w:lsdException w:name="footnote text" w:semiHidden="1" w:uiPriority="825" w:unhideWhenUsed="1" w:qFormat="0"/>
    <w:lsdException w:name="annotation text" w:semiHidden="1" w:uiPriority="825" w:unhideWhenUsed="1" w:qFormat="0"/>
    <w:lsdException w:name="header" w:semiHidden="1" w:uiPriority="825" w:unhideWhenUsed="1" w:qFormat="0"/>
    <w:lsdException w:name="footer" w:semiHidden="1" w:uiPriority="825" w:unhideWhenUsed="1" w:qFormat="0"/>
    <w:lsdException w:name="index heading" w:semiHidden="1" w:uiPriority="825" w:unhideWhenUsed="1" w:qFormat="0"/>
    <w:lsdException w:name="caption" w:semiHidden="1" w:uiPriority="131" w:unhideWhenUsed="1" w:qFormat="1"/>
    <w:lsdException w:name="table of figures" w:semiHidden="1" w:uiPriority="825" w:unhideWhenUsed="1" w:qFormat="0"/>
    <w:lsdException w:name="envelope address" w:semiHidden="1" w:uiPriority="825" w:unhideWhenUsed="1" w:qFormat="0"/>
    <w:lsdException w:name="envelope return" w:semiHidden="1" w:uiPriority="825" w:unhideWhenUsed="1" w:qFormat="0"/>
    <w:lsdException w:name="footnote reference" w:semiHidden="1" w:uiPriority="825" w:unhideWhenUsed="1" w:qFormat="0"/>
    <w:lsdException w:name="annotation reference" w:semiHidden="1" w:uiPriority="825" w:unhideWhenUsed="1" w:qFormat="0"/>
    <w:lsdException w:name="line number" w:semiHidden="1" w:uiPriority="825" w:unhideWhenUsed="1" w:qFormat="0"/>
    <w:lsdException w:name="page number" w:semiHidden="1" w:uiPriority="825" w:unhideWhenUsed="1" w:qFormat="0"/>
    <w:lsdException w:name="endnote reference" w:semiHidden="1" w:uiPriority="825" w:unhideWhenUsed="1" w:qFormat="0"/>
    <w:lsdException w:name="endnote text" w:semiHidden="1" w:uiPriority="825" w:unhideWhenUsed="1" w:qFormat="0"/>
    <w:lsdException w:name="table of authorities" w:semiHidden="1" w:uiPriority="825" w:unhideWhenUsed="1" w:qFormat="0"/>
    <w:lsdException w:name="macro" w:semiHidden="1" w:uiPriority="825" w:unhideWhenUsed="1" w:qFormat="0"/>
    <w:lsdException w:name="toa heading" w:semiHidden="1" w:uiPriority="825" w:unhideWhenUsed="1" w:qFormat="0"/>
    <w:lsdException w:name="List" w:semiHidden="1" w:uiPriority="825" w:unhideWhenUsed="1" w:qFormat="0"/>
    <w:lsdException w:name="List Bullet" w:semiHidden="1" w:uiPriority="825" w:unhideWhenUsed="1" w:qFormat="0"/>
    <w:lsdException w:name="List Number" w:semiHidden="1" w:uiPriority="825" w:unhideWhenUsed="1" w:qFormat="0"/>
    <w:lsdException w:name="List 2" w:semiHidden="1" w:uiPriority="825" w:unhideWhenUsed="1" w:qFormat="0"/>
    <w:lsdException w:name="List 3" w:semiHidden="1" w:uiPriority="825" w:unhideWhenUsed="1" w:qFormat="0"/>
    <w:lsdException w:name="List 4" w:semiHidden="1" w:uiPriority="825" w:unhideWhenUsed="1" w:qFormat="0"/>
    <w:lsdException w:name="List 5" w:semiHidden="1" w:uiPriority="825" w:unhideWhenUsed="1" w:qFormat="0"/>
    <w:lsdException w:name="List Bullet 2" w:semiHidden="1" w:uiPriority="825" w:unhideWhenUsed="1" w:qFormat="0"/>
    <w:lsdException w:name="List Bullet 3" w:semiHidden="1" w:uiPriority="825" w:unhideWhenUsed="1" w:qFormat="0"/>
    <w:lsdException w:name="List Bullet 4" w:semiHidden="1" w:uiPriority="825" w:unhideWhenUsed="1" w:qFormat="0"/>
    <w:lsdException w:name="List Bullet 5" w:semiHidden="1" w:uiPriority="825" w:unhideWhenUsed="1" w:qFormat="0"/>
    <w:lsdException w:name="List Number 2" w:semiHidden="1" w:uiPriority="825" w:unhideWhenUsed="1" w:qFormat="0"/>
    <w:lsdException w:name="List Number 3" w:semiHidden="1" w:uiPriority="825" w:unhideWhenUsed="1" w:qFormat="0"/>
    <w:lsdException w:name="List Number 4" w:semiHidden="1" w:uiPriority="825" w:unhideWhenUsed="1" w:qFormat="0"/>
    <w:lsdException w:name="List Number 5" w:semiHidden="1" w:uiPriority="825" w:unhideWhenUsed="1" w:qFormat="0"/>
    <w:lsdException w:name="Title" w:semiHidden="0" w:uiPriority="34" w:unhideWhenUsed="0" w:qFormat="1"/>
    <w:lsdException w:name="Closing" w:semiHidden="1" w:uiPriority="825" w:unhideWhenUsed="1" w:qFormat="0"/>
    <w:lsdException w:name="Signature" w:semiHidden="1" w:uiPriority="825" w:unhideWhenUsed="1" w:qFormat="0"/>
    <w:lsdException w:name="Default Paragraph Font" w:semiHidden="1" w:uiPriority="1" w:unhideWhenUsed="1" w:qFormat="0"/>
    <w:lsdException w:name="Body Text" w:semiHidden="1" w:uiPriority="825" w:unhideWhenUsed="1" w:qFormat="0"/>
    <w:lsdException w:name="Body Text Indent" w:semiHidden="1" w:uiPriority="825" w:unhideWhenUsed="1" w:qFormat="0"/>
    <w:lsdException w:name="List Continue" w:semiHidden="1" w:uiPriority="825" w:unhideWhenUsed="1" w:qFormat="0"/>
    <w:lsdException w:name="List Continue 2" w:semiHidden="1" w:uiPriority="825" w:unhideWhenUsed="1" w:qFormat="0"/>
    <w:lsdException w:name="List Continue 3" w:semiHidden="1" w:uiPriority="825" w:unhideWhenUsed="1" w:qFormat="0"/>
    <w:lsdException w:name="List Continue 4" w:semiHidden="1" w:uiPriority="825" w:unhideWhenUsed="1" w:qFormat="0"/>
    <w:lsdException w:name="List Continue 5" w:semiHidden="1" w:uiPriority="825" w:unhideWhenUsed="1" w:qFormat="0"/>
    <w:lsdException w:name="Message Header" w:semiHidden="1" w:uiPriority="825" w:unhideWhenUsed="1" w:qFormat="0"/>
  </w:latentStyles>
  <w:style w:type="paragraph" w:styleId="Title">
    <w:name w:val="Title"/>
    <w:qFormat/>
    <w:rPr>
      <w:sz w:val="56"/>
      <w:szCs w:val="56"/>
    </w:rPr>
  </w:style>
  <w:style w:type="paragraph" w:customStyle="1" w:styleId="Heading1">
    <w:name w:val="Heading 1"/>
    <w:qFormat/>
    <w:rPr>
      <w:color w:val="2E74B5"/>
      <w:sz w:val="32"/>
      <w:szCs w:val="32"/>
    </w:rPr>
  </w:style>
  <w:style w:type="paragraph" w:customStyle="1" w:styleId="Heading2">
    <w:name w:val="Heading 2"/>
    <w:qFormat/>
    <w:rPr>
      <w:color w:val="2E74B5"/>
      <w:sz w:val="26"/>
      <w:szCs w:val="26"/>
    </w:rPr>
  </w:style>
  <w:style w:type="paragraph" w:customStyle="1" w:styleId="Heading3">
    <w:name w:val="Heading 3"/>
    <w:qFormat/>
    <w:rPr>
      <w:color w:val="1F4D78"/>
      <w:sz w:val="24"/>
      <w:szCs w:val="24"/>
    </w:rPr>
  </w:style>
  <w:style w:type="paragraph" w:customStyle="1" w:styleId="Heading4">
    <w:name w:val="Heading 4"/>
    <w:qFormat/>
    <w:rPr>
      <w:i/>
      <w:iCs/>
      <w:color w:val="2E74B5"/>
    </w:rPr>
  </w:style>
  <w:style w:type="paragraph" w:customStyle="1" w:styleId="Heading5">
    <w:name w:val="Heading 5"/>
    <w:qFormat/>
    <w:rPr>
      <w:color w:val="2E74B5"/>
    </w:rPr>
  </w:style>
  <w:style w:type="paragraph" w:customStyle="1" w:styleId="Heading6">
    <w:name w:val="Heading 6"/>
    <w:qFormat/>
    <w:rPr>
      <w:color w:val="1F4D78"/>
    </w:rPr>
  </w:style>
  <w:style w:type="paragraph" w:customStyle="1" w:styleId="Strong">
    <w:name w:val="Strong"/>
    <w:qFormat/>
    <w:rPr>
      <w:b/>
      <w:bCs/>
    </w:rPr>
  </w:style>
  <w:style w:type="paragraph" w:customStyle="1" w:styleId="ListParagraph">
    <w:name w:val="List Paragraph"/>
    <w:qFormat/>
  </w:style>
  <w:style w:type="character" w:customStyle="1" w:styleId="Hyperlink">
    <w:name w:val="Hyperlink"/>
    <w:uiPriority w:val="99"/>
    <w:unhideWhenUsed/>
    <w:rPr>
      <w:color w:val="0563C1"/>
      <w:u w:val="single" w:color="auto"/>
    </w:rPr>
  </w:style>
  <w:style w:type="character" w:styleId="FootnoteReference">
    <w:name w:val="footnote reference"/>
    <w:uiPriority w:val="99"/>
    <w:semiHidden/>
    <w:unhideWhenUsed/>
    <w:rPr>
      <w:vertAlign w:val="superscript"/>
    </w:rPr>
  </w:style>
  <w:style w:type="paragraph" w:customStyle="1" w:styleId="FootnoteText">
    <w:name w:val="footnote text"/>
    <w:uiPriority w:val="99"/>
    <w:link w:val="FootnoteTextChar"/>
    <w:semiHidden/>
    <w:unhideWhenUsed/>
    <w:pPr>
      <w:spacing w:after="0" w:line="240" w:lineRule="auto"/>
    </w:pPr>
    <w:rPr>
      <w:sz w:val="20"/>
      <w:szCs w:val="20"/>
    </w:rPr>
  </w:style>
  <w:style w:type="character" w:customStyle="1" w:styleId="FootnoteTextChar">
    <w:name w:val="Footnote Text Char"/>
    <w:uiPriority w:val="99"/>
    <w:link w:val="FootnoteText"/>
    <w:semiHidden/>
    <w:unhideWhenUsed/>
    <w:rPr>
      <w:sz w:val="20"/>
      <w:szCs w:val="20"/>
    </w:rPr>
  </w:style>
  <w:style w:type="character" w:styleId="EndnoteReference">
    <w:name w:val="endnote reference"/>
    <w:uiPriority w:val="99"/>
    <w:semiHidden/>
    <w:unhideWhenUsed/>
    <w:rPr>
      <w:vertAlign w:val="superscript"/>
    </w:rPr>
  </w:style>
  <w:style w:type="paragraph" w:customStyle="1" w:styleId="EndnoteText">
    <w:name w:val="endnote text"/>
    <w:uiPriority w:val="99"/>
    <w:link w:val="EndnoteTextChar"/>
    <w:semiHidden/>
    <w:unhideWhenUsed/>
    <w:pPr>
      <w:spacing w:after="0" w:line="240" w:lineRule="auto"/>
    </w:pPr>
    <w:rPr>
      <w:sz w:val="20"/>
      <w:szCs w:val="20"/>
    </w:rPr>
  </w:style>
  <w:style w:type="character" w:customStyle="1" w:styleId="EndnoteTextChar">
    <w:name w:val="Endnote Text Char"/>
    <w:uiPriority w:val="99"/>
    <w:link w:val="EndnoteText"/>
    <w:semiHidden/>
    <w:unhideWhenUsed/>
    <w:rPr>
      <w:sz w:val="20"/>
      <w:szCs w:val="20"/>
    </w:rPr>
  </w:style>
  <w:style w:type="table" w:customStyle="1" w:styleId="table_normal">
    <w:name w:val="Normal Table"/>
    <w:semiHidden/>
    <w:tblPr>
      <w:tblInd w:w="0" w:type="dxa"/>
      <w:tblCellMar>
        <w:top w:w="0" w:type="dxa"/>
        <w:left w:w="0" w:type="dxa"/>
        <w:bottom w:w="0" w:type="dxa"/>
        <w:right w:w="0" w:type="dxa"/>
      </w:tblCellMar>
    </w:tblPr>
  </w:style>
  <w:style w:type="table" w:customStyle="1" w:styleId="table_grid">
    <w:name w:val="Table Grid"/>
    <w:basedOn w:val="table_normal"/>
    <w:pPr>
      <w:spacing w:after="0" w:line="240" w:lineRule="auto"/>
    </w:pPr>
    <w:tblP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5" w:type="dxa"/>
        <w:bottom w:w="0" w:type="dxa"/>
        <w:right w:w="105" w:type="dxa"/>
      </w:tblCellMar>
    </w:tbl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webSettings" Target="webSettings.xml"/><Relationship Id="rId5" Type="http://schemas.openxmlformats.org/officeDocument/2006/relationships/numbering" Target="numbering.xml"/><Relationship Id="rId6" Type="http://schemas.openxmlformats.org/officeDocument/2006/relationships/theme" Target="theme/theme1.xml"/></Relationships>
</file>

<file path=word/theme/theme1.xml><?xml version="1.0" encoding="utf-8"?>
<a:theme xmlns:a="http://schemas.openxmlformats.org/drawingml/2006/main" name="Hancom Office">
  <a:themeElements>
    <a:clrScheme name="Hancom Office">
      <a:dk1>
        <a:sysClr val="windowText" lastClr="000000"/>
      </a:dk1>
      <a:lt1>
        <a:sysClr val="window" lastClr="FFFFFF"/>
      </a:lt1>
      <a:dk2>
        <a:srgbClr val="3A3C84"/>
      </a:dk2>
      <a:lt2>
        <a:srgbClr val="FAF3DB"/>
      </a:lt2>
      <a:accent1>
        <a:srgbClr val="6182D6"/>
      </a:accent1>
      <a:accent2>
        <a:srgbClr val="FF843A"/>
      </a:accent2>
      <a:accent3>
        <a:srgbClr val="B2B2B2"/>
      </a:accent3>
      <a:accent4>
        <a:srgbClr val="FFD700"/>
      </a:accent4>
      <a:accent5>
        <a:srgbClr val="289B6E"/>
      </a:accent5>
      <a:accent6>
        <a:srgbClr val="9D5CBB"/>
      </a:accent6>
      <a:hlink>
        <a:srgbClr val="0000FF"/>
      </a:hlink>
      <a:folHlink>
        <a:srgbClr val="800080"/>
      </a:folHlink>
    </a:clrScheme>
    <a:fontScheme name="Hancom Office">
      <a:majorFont>
        <a:latin typeface="Cambria"/>
        <a:ea typeface=""/>
        <a:cs typeface=""/>
        <a:font script="Jpan" typeface=""/>
        <a:font script="Hang" typeface=""/>
        <a:font script="Hans" typeface=""/>
        <a:font script="Hant" typeface=""/>
        <a:font script="Arab" typeface=""/>
        <a:font script="Hebr" typeface=""/>
        <a:font script="Thai" typeface=""/>
        <a:font script="Ethi" typeface=""/>
        <a:font script="Beng" typeface=""/>
        <a:font script="Gujr" typeface=""/>
        <a:font script="Khmr" typeface=""/>
        <a:font script="Knda" typeface=""/>
        <a:font script="Guru" typeface=""/>
        <a:font script="Cans" typeface=""/>
        <a:font script="Cher" typeface=""/>
        <a:font script="Yiii" typeface=""/>
        <a:font script="Tibt" typeface=""/>
        <a:font script="Thaa" typeface=""/>
        <a:font script="Deva" typeface=""/>
        <a:font script="Telu" typeface=""/>
        <a:font script="Taml" typeface=""/>
        <a:font script="Syrc" typeface=""/>
        <a:font script="Orya" typeface=""/>
        <a:font script="Mlym" typeface=""/>
        <a:font script="Laoo" typeface=""/>
        <a:font script="Sinh" typeface=""/>
        <a:font script="Mong" typeface=""/>
        <a:font script="Viet" typeface=""/>
        <a:font script="Uigh" typeface=""/>
        <a:font script="Geor" typeface=""/>
        <a:font script="Mymr" typeface=""/>
      </a:majorFont>
      <a:minorFont>
        <a:latin typeface="Calibri"/>
        <a:ea typeface=""/>
        <a:cs typeface=""/>
        <a:font script="Jpan" typeface=""/>
        <a:font script="Hang" typeface=""/>
        <a:font script="Hans" typeface=""/>
        <a:font script="Hant" typeface=""/>
        <a:font script="Arab" typeface=""/>
        <a:font script="Hebr" typeface=""/>
        <a:font script="Thai" typeface=""/>
        <a:font script="Ethi" typeface=""/>
        <a:font script="Beng" typeface=""/>
        <a:font script="Gujr" typeface=""/>
        <a:font script="Khmr" typeface=""/>
        <a:font script="Knda" typeface=""/>
        <a:font script="Guru" typeface=""/>
        <a:font script="Cans" typeface=""/>
        <a:font script="Cher" typeface=""/>
        <a:font script="Yiii" typeface=""/>
        <a:font script="Tibt" typeface=""/>
        <a:font script="Thaa" typeface=""/>
        <a:font script="Deva" typeface=""/>
        <a:font script="Telu" typeface=""/>
        <a:font script="Taml" typeface=""/>
        <a:font script="Syrc" typeface=""/>
        <a:font script="Orya" typeface=""/>
        <a:font script="Mlym" typeface=""/>
        <a:font script="Laoo" typeface=""/>
        <a:font script="Sinh" typeface=""/>
        <a:font script="Mong" typeface=""/>
        <a:font script="Viet" typeface=""/>
        <a:font script="Uigh" typeface=""/>
        <a:font script="Geor" typeface=""/>
        <a:font script="Mymr" typeface=""/>
      </a:minorFont>
    </a:fontScheme>
    <a:fmtScheme name="Hancom 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12700" cap="flat" cmpd="sng" algn="ctr">
          <a:solidFill>
            <a:schemeClr val="phClr"/>
          </a:solidFill>
          <a:prstDash val="solid"/>
        </a:ln>
        <a:ln w="1905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Application>Word</Application>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dc:description/>
  <cp:lastModifiedBy>Un-named</cp:lastModifiedBy>
  <cp:revision>1</cp:revision>
  <dcterms:created xsi:type="dcterms:W3CDTF">2026-07-24T08:52:09Z</dcterms:created>
  <dcterms:modified xsi:type="dcterms:W3CDTF">2026-07-24T09:03:58Z</dcterms:modified>
  <cp:version>12.90.0.638</cp:version>
</cp:coreProperties>
</file>