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Ai rebuttal数据集调研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 xml:space="preserve">1.1 </w:t>
      </w:r>
      <w:hyperlink r:id="rId4">
        <w:r>
          <w:rPr>
            <w:rFonts w:eastAsia="等线" w:ascii="Arial" w:cs="Arial" w:hAnsi="Arial"/>
            <w:b w:val="true"/>
            <w:color w:val="3370ff"/>
            <w:sz w:val="32"/>
          </w:rPr>
          <w:t>Exploring Jiu-Jitsu Argumentation for Writing Peer Review Rebuttals</w:t>
        </w:r>
      </w:hyperlink>
      <w:r>
        <w:rPr>
          <w:rFonts w:eastAsia="等线" w:ascii="Arial" w:cs="Arial" w:hAnsi="Arial"/>
          <w:b w:val="true"/>
          <w:sz w:val="32"/>
        </w:rPr>
        <w:t xml:space="preserve"> Accepted at EMNLP Main Conference 2023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基础数据来源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DISAPERE数据集（ICLR 2019-2020）：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包含9,946条审稿句子（review sentences）和11,103条反驳句子（rebuttal sentences）。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复用三层标注：</w:t>
      </w:r>
    </w:p>
    <w:p>
      <w:pPr>
        <w:numPr>
          <w:numId w:val="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审稿方面（Review Aspect） → 作为态度根源（Attitude Root）（如Clarity、Substance等）。</w:t>
      </w:r>
    </w:p>
    <w:p>
      <w:pPr>
        <w:numPr>
          <w:numId w:val="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审稿-反驳链接（Review-Rebuttal Links）→ 用于关联审稿与对应反驳。</w:t>
      </w:r>
    </w:p>
    <w:p>
      <w:pPr>
        <w:numPr>
          <w:numId w:val="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反驳行为（Rebuttal Actions）（如Task Done、Reject Criticism等）。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Peer-Review-Analyze数据集（ICLR 2018）：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提供论文章节标签（Paper Sections） → 作为态度主题（Attitude Theme）（如Methodology、Experiments等）。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数据集统计与结构</w:t>
      </w:r>
      <w:bookmarkEnd w:id="2"/>
    </w:p>
    <w:p>
      <w:pPr>
        <w:spacing w:before="120" w:after="120" w:line="288" w:lineRule="auto"/>
        <w:ind w:left="453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28pt;mso-width-percent:0;mso-height-percent:0;mso-width-percent:0;mso-height-percent:0" type="#_x0000_t75" o:ole="">
            <v:imagedata r:id="rId7" o:title=""/>
          </v:shape>
          <o:OLEObject DrawAspect="Icon" ObjectID="_1718471219" ProgID="Excel.Sheet.12" ShapeID="_x0000_i1025" Type="Embed" r:id="rId6"/>
        </w:object>
      </w:r>
    </w:p>
    <w:p>
      <w:pPr>
        <w:spacing w:after="120"/>
        <w:ind w:left="453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总结</w:t>
      </w:r>
      <w:bookmarkEnd w:id="3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3900"/>
            </w:tblGrid>
            <w:tr>
              <w:tc>
                <w:tcPr>
                  <w:tcW w:w="3900" w:type="dxa"/>
                  <w:shd w:color="auto" w:val="clear" w:fill="f0f4f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4" w:id="4"/>
                  <w:r>
                    <w:rPr>
                      <w:rFonts w:eastAsia="等线" w:ascii="Arial" w:cs="Arial" w:hAnsi="Arial"/>
                      <w:b w:val="true"/>
                      <w:color w:val="245bdb"/>
                      <w:sz w:val="32"/>
                    </w:rPr>
                    <w:t>优点</w:t>
                  </w:r>
                  <w:bookmarkEnd w:id="4"/>
                </w:p>
              </w:tc>
            </w:tr>
          </w:tbl>
          <w:p/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 w:color=""/>
                <w:left w:val="single" w:color=""/>
                <w:bottom w:val="single" w:color=""/>
                <w:right w:val="single" w:color=""/>
                <w:insideH w:val="single" w:color=""/>
                <w:insideV w:val="single" w:color=""/>
              </w:tblBorders>
              <w:tblLayout w:type="fixed"/>
            </w:tblPr>
            <w:tblGrid>
              <w:gridCol w:w="3900"/>
            </w:tblGrid>
            <w:tr>
              <w:tc>
                <w:tcPr>
                  <w:tcW w:w="3900" w:type="dxa"/>
                  <w:shd w:color="auto" w:val="clear" w:fill="f0fbe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pStyle w:val="2"/>
                    <w:spacing w:before="320" w:after="120" w:line="288" w:lineRule="auto"/>
                    <w:ind w:left="0"/>
                    <w:jc w:val="left"/>
                    <w:outlineLvl w:val="1"/>
                  </w:pPr>
                  <w:bookmarkStart w:name="heading_5" w:id="5"/>
                  <w:r>
                    <w:rPr>
                      <w:rFonts w:eastAsia="等线" w:ascii="Arial" w:cs="Arial" w:hAnsi="Arial"/>
                      <w:b w:val="true"/>
                      <w:color w:val="2ea121"/>
                      <w:sz w:val="32"/>
                    </w:rPr>
                    <w:t>不足</w:t>
                  </w:r>
                  <w:bookmarkEnd w:id="5"/>
                </w:p>
              </w:tc>
            </w:tr>
          </w:tbl>
          <w:p/>
        </w:tc>
      </w:tr>
    </w:tbl>
    <w:p/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概念转化：</w:t>
              <w:br/>
            </w:r>
            <w:r>
              <w:rPr>
                <w:rFonts w:eastAsia="等线" w:ascii="Arial" w:cs="Arial" w:hAnsi="Arial"/>
                <w:sz w:val="22"/>
              </w:rPr>
              <w:t>将心理学中的"态度根源"映射到学术审稿场景，用审稿方面和论文章节分别代理态度根源和主题。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领域自适应：</w:t>
              <w:br/>
            </w:r>
            <w:r>
              <w:rPr>
                <w:rFonts w:eastAsia="等线" w:ascii="Arial" w:cs="Arial" w:hAnsi="Arial"/>
                <w:sz w:val="22"/>
              </w:rPr>
              <w:t>通过MLM任务在审稿数据上继续预训练语言模型（如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SciBERT_ds_neg</w:t>
            </w:r>
            <w:r>
              <w:rPr>
                <w:rFonts w:eastAsia="等线" w:ascii="Arial" w:cs="Arial" w:hAnsi="Arial"/>
                <w:sz w:val="22"/>
              </w:rPr>
              <w:t>），提升主题分类效果。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混合筛选策略：</w:t>
              <w:br/>
            </w:r>
            <w:r>
              <w:rPr>
                <w:rFonts w:eastAsia="等线" w:ascii="Arial" w:cs="Arial" w:hAnsi="Arial"/>
                <w:sz w:val="22"/>
              </w:rPr>
              <w:t>结合自动分类器粗筛与人工偏好标注细筛，最终用图排序算法提取典型反驳。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数据仅来自ICLR，未覆盖自然科学或人文学科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i w:val="true"/>
                <w:sz w:val="22"/>
              </w:rPr>
              <w:t>稀疏映射：并非所有审稿句都有对应典型反驳，原始数据有缺失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论文"Limitations"部分提到，典型反驳作为模板需人工细化，需要避免直接替代人类写作</w:t>
            </w:r>
          </w:p>
          <w:p>
            <w:pPr>
              <w:pStyle w:val="4"/>
              <w:spacing w:before="260" w:after="120" w:line="288" w:lineRule="auto"/>
              <w:ind w:left="0"/>
              <w:jc w:val="left"/>
              <w:outlineLvl w:val="3"/>
            </w:pPr>
            <w:bookmarkStart w:name="heading_6" w:id="6"/>
            <w:bookmarkEnd w:id="6"/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 xml:space="preserve">1.2 </w:t>
      </w:r>
      <w:r>
        <w:rPr>
          <w:rFonts w:eastAsia="等线" w:ascii="Arial" w:cs="Arial" w:hAnsi="Arial"/>
          <w:b w:val="true"/>
          <w:sz w:val="3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R</m:t>
        </m:r>
        <m:sSup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="等线" w:ascii="Arial" w:cs="Arial" w:hAnsi="Arial"/>
          <w:b w:val="true"/>
          <w:sz w:val="32"/>
        </w:rPr>
        <w:t>:</w:t>
      </w:r>
      <w:hyperlink r:id="rId8">
        <w:r>
          <w:rPr>
            <w:rFonts w:eastAsia="等线" w:ascii="Arial" w:cs="Arial" w:hAnsi="Arial"/>
            <w:b w:val="true"/>
            <w:color w:val="3370ff"/>
            <w:sz w:val="32"/>
          </w:rPr>
          <w:t>A Consistency-ensured Dataset for Full-stage Peer Review and Multi-turn Rebuttal Discussions</w:t>
        </w:r>
      </w:hyperlink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文摘要：同行评审是AI等领域科学进步的关键环节，但提交量的激增使得评审系统不堪重负，这不可避免地导致了评审人员短缺和评审质量下降。除了研究热度持续攀升外，造成这种超负荷的另一个关键因素是不合格稿件的重复提交，这很大程度上源于作者在投稿前缺乏有效的工具进行自我评估。大语言模型 (LLMs) 在协助作者和评审人员方面展现出巨大潜力，但其性能从根本上受限于同行评审数据的质量。然而，现有的同行评审数据集面临三大局限：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1.数据多样性有限；2.由于使用的是修订后版本而非初始投稿，导致数据不一致且质量较低；3.对涉及反驳及评审人-作者互动的任务支持不足。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为应对这些挑战，我们推出了最大规模且确保一致性的同行评审与反驳数据集——Re²。该数据集包含来自OpenReview平台上24个会议和21个研讨会的 19,926份初始投稿、70,668条评审意见以及53,818份反驳。此外，我们将反驳和讨论阶段构建为多轮对话范式，旨在支持传统的静态评审任务以及动态交互式LLM助手，从而为作者优化稿件提供更具实践性的指导，并有助于缓解日益增长的评审负担。</w:t>
      </w:r>
    </w:p>
    <w:p>
      <w:pPr>
        <w:spacing w:before="120" w:after="120" w:line="288" w:lineRule="auto"/>
        <w:ind w:left="0"/>
        <w:jc w:val="left"/>
      </w:pPr>
      <w:hyperlink r:id="rId9">
        <w:r>
          <w:rPr>
            <w:rFonts w:eastAsia="等线" w:ascii="Arial" w:cs="Arial" w:hAnsi="Arial"/>
            <w:color w:val="3370ff"/>
            <w:sz w:val="22"/>
          </w:rPr>
          <w:t>A Dataset of Peer Reviews (PeerRead): Collection, Insights and NLP Applications</w:t>
        </w:r>
      </w:hyperlink>
      <w:r>
        <w:rPr>
          <w:rFonts w:eastAsia="等线" w:ascii="Arial" w:cs="Arial" w:hAnsi="Arial"/>
          <w:sz w:val="22"/>
        </w:rPr>
        <w:t>这是peer read v1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他们根据这篇文章提出了peer read v2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 PeerRead v1 的约 14,000 篇增长到 ~100,000 篇。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 PeerRead v1 的约 4,000 条增长到 ~170,000 条。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覆盖范围45个学术活动，远超 v1 仅覆盖 3 个会议的范围。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数据来源</w:t>
      </w:r>
      <w:bookmarkEnd w:id="8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从OpenReview爬取 24个会议与21个研讨会，远超现有数据集比如如PeerRead仅14,700篇论文，无反驳数据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初始投稿获取方式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（1）通过会议截稿日期确定初始提交时间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（2）从论文修订历史中提取截稿前最新版本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  使用商用工具Doc2X保障公式识别精度，PDF转纯文本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关键技术挑战：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作者/审稿人的多次连续回复合并为单轮对话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针对多位审稿人的相似问题，将全局回复插入对话流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混合人工与自动化方法剔除催促类回复，比如请审稿人回复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结构化多轮对话，支持动态交互式LLM训练。</w:t>
      </w:r>
    </w:p>
    <w:p>
      <w:pPr>
        <w:spacing w:before="120" w:after="120" w:line="288" w:lineRule="auto"/>
        <w:ind w:left="453"/>
      </w:pPr>
      <w:r>
        <w:object>
          <v:shape id="_x0000_i1026" style="width:414pt;height:104pt;mso-width-percent:0;mso-height-percent:0;mso-width-percent:0;mso-height-percent:0" type="#_x0000_t75" o:ole="">
            <v:imagedata r:id="rId11" o:title=""/>
          </v:shape>
          <o:OLEObject DrawAspect="Icon" ObjectID="_1718471220" ProgID="Excel.Sheet.12" ShapeID="_x0000_i1026" Type="Embed" r:id="rId10"/>
        </w:object>
      </w:r>
    </w:p>
    <w:p>
      <w:pPr>
        <w:spacing w:after="120"/>
        <w:ind w:left="453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一些insight：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反驳对话任务中，模型在准确性和建设性表现最佳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零样本LLM倾向讨好作者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专用模型过于严格，评分均过低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局限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仅处理文本内容，未整合图表等多模态信息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rebuttal_test.json中以</w:t>
      </w:r>
      <w:r>
        <w:rPr>
          <w:rFonts w:eastAsia="Consolas" w:ascii="Consolas" w:cs="Consolas" w:hAnsi="Consolas"/>
          <w:b w:val="true"/>
          <w:sz w:val="30"/>
          <w:shd w:fill="EFF0F1"/>
        </w:rPr>
        <w:t>8xC5NNej-l_</w:t>
      </w:r>
      <w:r>
        <w:rPr>
          <w:rFonts w:eastAsia="等线" w:ascii="Arial" w:cs="Arial" w:hAnsi="Arial"/>
          <w:b w:val="true"/>
          <w:sz w:val="30"/>
        </w:rPr>
        <w:t xml:space="preserve"> 为例</w:t>
      </w:r>
      <w:bookmarkEnd w:id="1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系统初始化</w:t>
      </w:r>
      <w:r>
        <w:rPr>
          <w:rFonts w:eastAsia="等线" w:ascii="Arial" w:cs="Arial" w:hAnsi="Arial"/>
          <w:b w:val="true"/>
          <w:sz w:val="30"/>
        </w:rPr>
        <w:t xml:space="preserve"> → 2. </w:t>
      </w:r>
      <w:r>
        <w:rPr>
          <w:rFonts w:eastAsia="等线" w:ascii="Arial" w:cs="Arial" w:hAnsi="Arial"/>
          <w:b w:val="true"/>
          <w:sz w:val="30"/>
        </w:rPr>
        <w:t>论文提交</w:t>
      </w:r>
      <w:r>
        <w:rPr>
          <w:rFonts w:eastAsia="等线" w:ascii="Arial" w:cs="Arial" w:hAnsi="Arial"/>
          <w:b w:val="true"/>
          <w:sz w:val="30"/>
        </w:rPr>
        <w:t xml:space="preserve"> → 3. </w:t>
      </w:r>
      <w:r>
        <w:rPr>
          <w:rFonts w:eastAsia="等线" w:ascii="Arial" w:cs="Arial" w:hAnsi="Arial"/>
          <w:b w:val="true"/>
          <w:sz w:val="30"/>
        </w:rPr>
        <w:t>初始评审</w:t>
      </w:r>
      <w:r>
        <w:rPr>
          <w:rFonts w:eastAsia="等线" w:ascii="Arial" w:cs="Arial" w:hAnsi="Arial"/>
          <w:b w:val="true"/>
          <w:sz w:val="30"/>
        </w:rPr>
        <w:t xml:space="preserve"> → 4. </w:t>
      </w:r>
      <w:r>
        <w:rPr>
          <w:rFonts w:eastAsia="等线" w:ascii="Arial" w:cs="Arial" w:hAnsi="Arial"/>
          <w:b w:val="true"/>
          <w:sz w:val="30"/>
        </w:rPr>
        <w:t>作者回应</w:t>
      </w:r>
      <w:r>
        <w:rPr>
          <w:rFonts w:eastAsia="等线" w:ascii="Arial" w:cs="Arial" w:hAnsi="Arial"/>
          <w:b w:val="true"/>
          <w:sz w:val="30"/>
        </w:rPr>
        <w:t xml:space="preserve"> → 5. </w:t>
      </w:r>
      <w:r>
        <w:rPr>
          <w:rFonts w:eastAsia="等线" w:ascii="Arial" w:cs="Arial" w:hAnsi="Arial"/>
          <w:b w:val="true"/>
          <w:sz w:val="30"/>
        </w:rPr>
        <w:t>争议解决</w:t>
      </w:r>
      <w:r>
        <w:rPr>
          <w:rFonts w:eastAsia="等线" w:ascii="Arial" w:cs="Arial" w:hAnsi="Arial"/>
          <w:b w:val="true"/>
          <w:sz w:val="30"/>
        </w:rPr>
        <w:t xml:space="preserve"> → 6. </w:t>
      </w:r>
      <w:r>
        <w:rPr>
          <w:rFonts w:eastAsia="等线" w:ascii="Arial" w:cs="Arial" w:hAnsi="Arial"/>
          <w:b w:val="true"/>
          <w:sz w:val="30"/>
        </w:rPr>
        <w:t>最终裁决</w:t>
      </w:r>
      <w:bookmarkEnd w:id="11"/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1. 顶层结构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JSON 文件是一个 </w:t>
      </w:r>
      <w:r>
        <w:rPr>
          <w:rFonts w:eastAsia="等线" w:ascii="Arial" w:cs="Arial" w:hAnsi="Arial"/>
          <w:b w:val="true"/>
          <w:sz w:val="22"/>
        </w:rPr>
        <w:t>对象数组</w:t>
      </w:r>
      <w:r>
        <w:rPr>
          <w:rFonts w:eastAsia="等线" w:ascii="Arial" w:cs="Arial" w:hAnsi="Arial"/>
          <w:sz w:val="22"/>
        </w:rPr>
        <w:t xml:space="preserve">​，每个对象代表 </w:t>
      </w:r>
      <w:r>
        <w:rPr>
          <w:rFonts w:eastAsia="等线" w:ascii="Arial" w:cs="Arial" w:hAnsi="Arial"/>
          <w:b w:val="true"/>
          <w:sz w:val="22"/>
        </w:rPr>
        <w:t>一篇论文的完整评审记录</w:t>
      </w:r>
      <w:r>
        <w:rPr>
          <w:rFonts w:eastAsia="等线" w:ascii="Arial" w:cs="Arial" w:hAnsi="Arial"/>
          <w:sz w:val="22"/>
        </w:rPr>
        <w:t>​，包含以下核心字段：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</w:t>
              <w:br/>
              <w:t xml:space="preserve">  {</w:t>
              <w:br/>
              <w:t xml:space="preserve">    "paper_id": "8xC5NNej-l_",                      // 论文唯一ID</w:t>
              <w:br/>
              <w:t xml:space="preserve">    "conference_year_track": "CoRL 2021 Conference", // 会议名称+年份</w:t>
              <w:br/>
              <w:t xml:space="preserve">    "reviewer_id": "Reviewer_bi2U",                 // 评审员ID</w:t>
              <w:br/>
              <w:t xml:space="preserve">    "messages": [ ... ]                              // 评审对话记录</w:t>
              <w:br/>
              <w:t xml:space="preserve">  },</w:t>
              <w:br/>
              <w:t xml:space="preserve">  { ... }  // 其他论文记录</w:t>
              <w:br/>
            </w:r>
            <w:r>
              <w:rPr>
                <w:rFonts w:eastAsia="Consolas" w:ascii="Consolas" w:cs="Consolas" w:hAnsi="Consolas"/>
                <w:sz w:val="22"/>
              </w:rPr>
              <w:t>]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 xml:space="preserve">2. </w:t>
      </w:r>
      <w:r>
        <w:rPr>
          <w:rFonts w:eastAsia="Consolas" w:ascii="Consolas" w:cs="Consolas" w:hAnsi="Consolas"/>
          <w:b w:val="true"/>
          <w:sz w:val="30"/>
          <w:shd w:fill="EFF0F1"/>
        </w:rPr>
        <w:t>messages</w:t>
      </w:r>
      <w:r>
        <w:rPr>
          <w:rFonts w:eastAsia="等线" w:ascii="Arial" w:cs="Arial" w:hAnsi="Arial"/>
          <w:b w:val="true"/>
          <w:sz w:val="30"/>
        </w:rPr>
        <w:t xml:space="preserve"> 对话结构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messages</w:t>
      </w:r>
      <w:r>
        <w:rPr>
          <w:rFonts w:eastAsia="等线" w:ascii="Arial" w:cs="Arial" w:hAnsi="Arial"/>
          <w:sz w:val="22"/>
        </w:rPr>
        <w:t xml:space="preserve"> 是一个 </w:t>
      </w:r>
      <w:r>
        <w:rPr>
          <w:rFonts w:eastAsia="等线" w:ascii="Arial" w:cs="Arial" w:hAnsi="Arial"/>
          <w:b w:val="true"/>
          <w:sz w:val="22"/>
        </w:rPr>
        <w:t>有序对话列表</w:t>
      </w:r>
      <w:r>
        <w:rPr>
          <w:rFonts w:eastAsia="等线" w:ascii="Arial" w:cs="Arial" w:hAnsi="Arial"/>
          <w:sz w:val="22"/>
        </w:rPr>
        <w:t>​，按时间顺序记录评审员与作者的交互。每条记录包含：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"role": "system" | "user" | "assistant",  // 角色类型</w:t>
              <w:br/>
              <w:t xml:space="preserve">  "content": "..."                          // 对话内容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角色说明</w:t>
      </w:r>
      <w:bookmarkEnd w:id="14"/>
    </w:p>
    <w:p>
      <w:pPr>
        <w:spacing w:before="120" w:after="120" w:line="288" w:lineRule="auto"/>
        <w:ind w:left="0"/>
      </w:pPr>
      <w:r>
        <w:object>
          <v:shape id="_x0000_i1027" style="width:414pt;height:150pt;mso-width-percent:0;mso-height-percent:0;mso-width-percent:0;mso-height-percent:0" type="#_x0000_t75" o:ole="">
            <v:imagedata r:id="rId13" o:title=""/>
          </v:shape>
          <o:OLEObject DrawAspect="Icon" ObjectID="_1718471221" ProgID="Excel.Sheet.12" ShapeID="_x0000_i1027" Type="Embed" r:id="rId12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3. 典型对话流程</w:t>
      </w:r>
      <w:bookmarkEnd w:id="15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阶段 1：初始化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"role": "system",</w:t>
              <w:br/>
              <w:t xml:space="preserve">  "content": "You are an experienced academic paper reviewer..."  // 系统设定评审员角色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sz w:val="28"/>
        </w:rPr>
        <w:t>阶段 2：论文提交</w:t>
      </w:r>
      <w:bookmarkEnd w:id="1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"role": "user",</w:t>
              <w:br/>
              <w:t xml:space="preserve">  "content": "Now your reviewer ID is assigned..."  // 用户提交论文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阶段 3：初始评审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"role": "assistant",</w:t>
              <w:br/>
              <w:t xml:space="preserve">  "content": "Review Content: summary: ... strengths_and_weaknesses: ..."  // 评审员输出完整评审报告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阶段 4：作者回应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"role": "user",</w:t>
              <w:br/>
              <w:t xml:space="preserve">  "content": "Title: Response to Reviewer..."  // 作者反驳/澄清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阶段 5：最终决议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"role": "assistant",</w:t>
              <w:br/>
              <w:t xml:space="preserve">  "content": "I am glad to have had the above discussion..."  // 评审员总结并确认评分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4. 评审内容的关键字段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评审员回复 (assistant) 包含结构化字段（不同评审员格式略有差异）：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"role": "assistant",</w:t>
              <w:br/>
              <w:t xml:space="preserve">  "content": "Review Content: </w:t>
              <w:br/>
              <w:t xml:space="preserve">    summary: ...                          // 论文摘要总结</w:t>
              <w:br/>
              <w:t xml:space="preserve">    strengths_and_weaknesses: ...         // 优缺点分析</w:t>
              <w:br/>
              <w:t xml:space="preserve">    summary_of_recommendation: ...         // 最终推荐意见</w:t>
              <w:br/>
              <w:t xml:space="preserve">    issues: ...                           // 具体问题清单</w:t>
              <w:br/>
              <w:t xml:space="preserve">    Rating: ...                           // 评分（如 7/10）</w:t>
              <w:br/>
              <w:t xml:space="preserve">    Confidence: ...                       // 评审员信心指数</w:t>
              <w:br/>
            </w:r>
            <w:r>
              <w:rPr>
                <w:rFonts w:eastAsia="Consolas" w:ascii="Consolas" w:cs="Consolas" w:hAnsi="Consolas"/>
                <w:sz w:val="22"/>
              </w:rPr>
              <w:t>}"</w:t>
            </w:r>
          </w:p>
        </w:tc>
      </w:tr>
    </w:tbl>
    <w:sectPr>
      <w:footerReference w:type="default" r:id="rId3"/>
      <w:headerReference w:type="default" r:id="rId1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265704">
    <w:lvl>
      <w:numFmt w:val="bullet"/>
      <w:suff w:val="tab"/>
      <w:lvlText w:val="•"/>
      <w:rPr>
        <w:color w:val="3370ff"/>
      </w:rPr>
    </w:lvl>
  </w:abstractNum>
  <w:abstractNum w:abstractNumId="2265705">
    <w:lvl>
      <w:numFmt w:val="bullet"/>
      <w:suff w:val="tab"/>
      <w:lvlText w:val="￮"/>
      <w:rPr>
        <w:color w:val="3370ff"/>
      </w:rPr>
    </w:lvl>
  </w:abstractNum>
  <w:abstractNum w:abstractNumId="2265706">
    <w:lvl>
      <w:numFmt w:val="bullet"/>
      <w:suff w:val="tab"/>
      <w:lvlText w:val="￮"/>
      <w:rPr>
        <w:color w:val="3370ff"/>
      </w:rPr>
    </w:lvl>
  </w:abstractNum>
  <w:abstractNum w:abstractNumId="2265707">
    <w:lvl>
      <w:numFmt w:val="bullet"/>
      <w:suff w:val="tab"/>
      <w:lvlText w:val="▪"/>
      <w:rPr>
        <w:color w:val="3370ff"/>
        <w:sz w:val="11"/>
      </w:rPr>
    </w:lvl>
  </w:abstractNum>
  <w:abstractNum w:abstractNumId="2265708">
    <w:lvl>
      <w:numFmt w:val="bullet"/>
      <w:suff w:val="tab"/>
      <w:lvlText w:val="▪"/>
      <w:rPr>
        <w:color w:val="3370ff"/>
        <w:sz w:val="11"/>
      </w:rPr>
    </w:lvl>
  </w:abstractNum>
  <w:abstractNum w:abstractNumId="2265709">
    <w:lvl>
      <w:numFmt w:val="bullet"/>
      <w:suff w:val="tab"/>
      <w:lvlText w:val="▪"/>
      <w:rPr>
        <w:color w:val="3370ff"/>
        <w:sz w:val="11"/>
      </w:rPr>
    </w:lvl>
  </w:abstractNum>
  <w:abstractNum w:abstractNumId="2265710">
    <w:lvl>
      <w:numFmt w:val="bullet"/>
      <w:suff w:val="tab"/>
      <w:lvlText w:val="•"/>
      <w:rPr>
        <w:color w:val="3370ff"/>
      </w:rPr>
    </w:lvl>
  </w:abstractNum>
  <w:abstractNum w:abstractNumId="2265711">
    <w:lvl>
      <w:numFmt w:val="bullet"/>
      <w:suff w:val="tab"/>
      <w:lvlText w:val="￮"/>
      <w:rPr>
        <w:color w:val="3370ff"/>
      </w:rPr>
    </w:lvl>
  </w:abstractNum>
  <w:abstractNum w:abstractNumId="2265712">
    <w:lvl>
      <w:start w:val="1"/>
      <w:numFmt w:val="decimal"/>
      <w:suff w:val="tab"/>
      <w:lvlText w:val="%1."/>
      <w:rPr>
        <w:color w:val="3370ff"/>
      </w:rPr>
    </w:lvl>
  </w:abstractNum>
  <w:abstractNum w:abstractNumId="2265713">
    <w:lvl>
      <w:start w:val="2"/>
      <w:numFmt w:val="decimal"/>
      <w:suff w:val="tab"/>
      <w:lvlText w:val="%1."/>
      <w:rPr>
        <w:color w:val="3370ff"/>
      </w:rPr>
    </w:lvl>
  </w:abstractNum>
  <w:abstractNum w:abstractNumId="2265714">
    <w:lvl>
      <w:start w:val="3"/>
      <w:numFmt w:val="decimal"/>
      <w:suff w:val="tab"/>
      <w:lvlText w:val="%1."/>
      <w:rPr>
        <w:color w:val="3370ff"/>
      </w:rPr>
    </w:lvl>
  </w:abstractNum>
  <w:abstractNum w:abstractNumId="2265715">
    <w:lvl>
      <w:numFmt w:val="bullet"/>
      <w:suff w:val="tab"/>
      <w:lvlText w:val="•"/>
      <w:rPr>
        <w:color w:val="3370ff"/>
      </w:rPr>
    </w:lvl>
  </w:abstractNum>
  <w:abstractNum w:abstractNumId="2265716">
    <w:lvl>
      <w:numFmt w:val="bullet"/>
      <w:suff w:val="tab"/>
      <w:lvlText w:val="•"/>
      <w:rPr>
        <w:color w:val="3370ff"/>
      </w:rPr>
    </w:lvl>
  </w:abstractNum>
  <w:abstractNum w:abstractNumId="2265717">
    <w:lvl>
      <w:numFmt w:val="bullet"/>
      <w:suff w:val="tab"/>
      <w:lvlText w:val="•"/>
      <w:rPr>
        <w:color w:val="3370ff"/>
      </w:rPr>
    </w:lvl>
  </w:abstractNum>
  <w:abstractNum w:abstractNumId="2265718">
    <w:lvl>
      <w:numFmt w:val="bullet"/>
      <w:suff w:val="tab"/>
      <w:lvlText w:val="•"/>
      <w:rPr>
        <w:color w:val="3370ff"/>
      </w:rPr>
    </w:lvl>
  </w:abstractNum>
  <w:abstractNum w:abstractNumId="2265719">
    <w:lvl>
      <w:numFmt w:val="bullet"/>
      <w:suff w:val="tab"/>
      <w:lvlText w:val="•"/>
      <w:rPr>
        <w:color w:val="3370ff"/>
      </w:rPr>
    </w:lvl>
  </w:abstractNum>
  <w:abstractNum w:abstractNumId="2265720">
    <w:lvl>
      <w:numFmt w:val="bullet"/>
      <w:suff w:val="tab"/>
      <w:lvlText w:val="•"/>
      <w:rPr>
        <w:color w:val="3370ff"/>
      </w:rPr>
    </w:lvl>
  </w:abstractNum>
  <w:abstractNum w:abstractNumId="2265721">
    <w:lvl>
      <w:numFmt w:val="bullet"/>
      <w:suff w:val="tab"/>
      <w:lvlText w:val="•"/>
      <w:rPr>
        <w:color w:val="3370ff"/>
      </w:rPr>
    </w:lvl>
  </w:abstractNum>
  <w:abstractNum w:abstractNumId="2265722">
    <w:lvl>
      <w:numFmt w:val="bullet"/>
      <w:suff w:val="tab"/>
      <w:lvlText w:val="•"/>
      <w:rPr>
        <w:color w:val="3370ff"/>
      </w:rPr>
    </w:lvl>
  </w:abstractNum>
  <w:abstractNum w:abstractNumId="2265723">
    <w:lvl>
      <w:numFmt w:val="bullet"/>
      <w:suff w:val="tab"/>
      <w:lvlText w:val="￮"/>
      <w:rPr>
        <w:color w:val="3370ff"/>
      </w:rPr>
    </w:lvl>
  </w:abstractNum>
  <w:abstractNum w:abstractNumId="2265724">
    <w:lvl>
      <w:numFmt w:val="bullet"/>
      <w:suff w:val="tab"/>
      <w:lvlText w:val="￮"/>
      <w:rPr>
        <w:color w:val="3370ff"/>
      </w:rPr>
    </w:lvl>
  </w:abstractNum>
  <w:abstractNum w:abstractNumId="2265725">
    <w:lvl>
      <w:numFmt w:val="bullet"/>
      <w:suff w:val="tab"/>
      <w:lvlText w:val="￮"/>
      <w:rPr>
        <w:color w:val="3370ff"/>
      </w:rPr>
    </w:lvl>
  </w:abstractNum>
  <w:abstractNum w:abstractNumId="2265726">
    <w:lvl>
      <w:numFmt w:val="bullet"/>
      <w:suff w:val="tab"/>
      <w:lvlText w:val="•"/>
      <w:rPr>
        <w:color w:val="3370ff"/>
      </w:rPr>
    </w:lvl>
  </w:abstractNum>
  <w:abstractNum w:abstractNumId="2265727">
    <w:lvl>
      <w:numFmt w:val="bullet"/>
      <w:suff w:val="tab"/>
      <w:lvlText w:val="￮"/>
      <w:rPr>
        <w:color w:val="3370ff"/>
      </w:rPr>
    </w:lvl>
  </w:abstractNum>
  <w:abstractNum w:abstractNumId="2265728">
    <w:lvl>
      <w:numFmt w:val="bullet"/>
      <w:suff w:val="tab"/>
      <w:lvlText w:val="￮"/>
      <w:rPr>
        <w:color w:val="3370ff"/>
      </w:rPr>
    </w:lvl>
  </w:abstractNum>
  <w:abstractNum w:abstractNumId="2265729">
    <w:lvl>
      <w:numFmt w:val="bullet"/>
      <w:suff w:val="tab"/>
      <w:lvlText w:val="￮"/>
      <w:rPr>
        <w:color w:val="3370ff"/>
      </w:rPr>
    </w:lvl>
  </w:abstractNum>
  <w:abstractNum w:abstractNumId="2265730">
    <w:lvl>
      <w:numFmt w:val="bullet"/>
      <w:suff w:val="tab"/>
      <w:lvlText w:val="￮"/>
      <w:rPr>
        <w:color w:val="3370ff"/>
      </w:rPr>
    </w:lvl>
  </w:abstractNum>
  <w:abstractNum w:abstractNumId="2265731">
    <w:lvl>
      <w:numFmt w:val="bullet"/>
      <w:suff w:val="tab"/>
      <w:lvlText w:val="•"/>
      <w:rPr>
        <w:color w:val="3370ff"/>
      </w:rPr>
    </w:lvl>
  </w:abstractNum>
  <w:abstractNum w:abstractNumId="2265732">
    <w:lvl>
      <w:numFmt w:val="bullet"/>
      <w:suff w:val="tab"/>
      <w:lvlText w:val="•"/>
      <w:rPr>
        <w:color w:val="3370ff"/>
      </w:rPr>
    </w:lvl>
  </w:abstractNum>
  <w:abstractNum w:abstractNumId="2265733">
    <w:lvl>
      <w:numFmt w:val="bullet"/>
      <w:suff w:val="tab"/>
      <w:lvlText w:val="•"/>
      <w:rPr>
        <w:color w:val="3370ff"/>
      </w:rPr>
    </w:lvl>
  </w:abstractNum>
  <w:num w:numId="1">
    <w:abstractNumId w:val="2265704"/>
  </w:num>
  <w:num w:numId="2">
    <w:abstractNumId w:val="2265705"/>
  </w:num>
  <w:num w:numId="3">
    <w:abstractNumId w:val="2265706"/>
  </w:num>
  <w:num w:numId="4">
    <w:abstractNumId w:val="2265707"/>
  </w:num>
  <w:num w:numId="5">
    <w:abstractNumId w:val="2265708"/>
  </w:num>
  <w:num w:numId="6">
    <w:abstractNumId w:val="2265709"/>
  </w:num>
  <w:num w:numId="7">
    <w:abstractNumId w:val="2265710"/>
  </w:num>
  <w:num w:numId="8">
    <w:abstractNumId w:val="2265711"/>
  </w:num>
  <w:num w:numId="9">
    <w:abstractNumId w:val="2265712"/>
  </w:num>
  <w:num w:numId="10">
    <w:abstractNumId w:val="2265713"/>
  </w:num>
  <w:num w:numId="11">
    <w:abstractNumId w:val="2265714"/>
  </w:num>
  <w:num w:numId="12">
    <w:abstractNumId w:val="2265715"/>
  </w:num>
  <w:num w:numId="13">
    <w:abstractNumId w:val="2265716"/>
  </w:num>
  <w:num w:numId="14">
    <w:abstractNumId w:val="2265717"/>
  </w:num>
  <w:num w:numId="15">
    <w:abstractNumId w:val="2265718"/>
  </w:num>
  <w:num w:numId="16">
    <w:abstractNumId w:val="2265719"/>
  </w:num>
  <w:num w:numId="17">
    <w:abstractNumId w:val="2265720"/>
  </w:num>
  <w:num w:numId="18">
    <w:abstractNumId w:val="2265721"/>
  </w:num>
  <w:num w:numId="19">
    <w:abstractNumId w:val="2265722"/>
  </w:num>
  <w:num w:numId="20">
    <w:abstractNumId w:val="2265723"/>
  </w:num>
  <w:num w:numId="21">
    <w:abstractNumId w:val="2265724"/>
  </w:num>
  <w:num w:numId="22">
    <w:abstractNumId w:val="2265725"/>
  </w:num>
  <w:num w:numId="23">
    <w:abstractNumId w:val="2265726"/>
  </w:num>
  <w:num w:numId="24">
    <w:abstractNumId w:val="2265727"/>
  </w:num>
  <w:num w:numId="25">
    <w:abstractNumId w:val="2265728"/>
  </w:num>
  <w:num w:numId="26">
    <w:abstractNumId w:val="2265729"/>
  </w:num>
  <w:num w:numId="27">
    <w:abstractNumId w:val="2265730"/>
  </w:num>
  <w:num w:numId="28">
    <w:abstractNumId w:val="2265731"/>
  </w:num>
  <w:num w:numId="29">
    <w:abstractNumId w:val="2265732"/>
  </w:num>
  <w:num w:numId="30">
    <w:abstractNumId w:val="226573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embeddings/Microsoft_Excel_Worksheet2.xlsx" Type="http://schemas.openxmlformats.org/officeDocument/2006/relationships/package"/><Relationship Id="rId11" Target="media/image2.png" Type="http://schemas.openxmlformats.org/officeDocument/2006/relationships/image"/><Relationship Id="rId12" Target="embeddings/Microsoft_Excel_Worksheet3.xlsx" Type="http://schemas.openxmlformats.org/officeDocument/2006/relationships/package"/><Relationship Id="rId13" Target="media/image3.png" Type="http://schemas.openxmlformats.org/officeDocument/2006/relationships/image"/><Relationship Id="rId14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arxiv.org/abs/2311.03998" TargetMode="External" Type="http://schemas.openxmlformats.org/officeDocument/2006/relationships/hyperlink"/><Relationship Id="rId5" Target="numbering.xml" Type="http://schemas.openxmlformats.org/officeDocument/2006/relationships/numbering"/><Relationship Id="rId6" Target="embeddings/Microsoft_Excel_Worksheet1.xlsx" Type="http://schemas.openxmlformats.org/officeDocument/2006/relationships/package"/><Relationship Id="rId7" Target="media/image1.png" Type="http://schemas.openxmlformats.org/officeDocument/2006/relationships/image"/><Relationship Id="rId8" Target="https://arxiv.org/abs/2505.07920" TargetMode="External" Type="http://schemas.openxmlformats.org/officeDocument/2006/relationships/hyperlink"/><Relationship Id="rId9" Target="https://aclanthology.org/N18-1149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2025-07-14T15:09:05Z</dcterms:created>
  <dc:creator>Apache POI</dc:creator>
</cp:coreProperties>
</file>