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w:body>
    <w:p>
      <w:pPr>
        <w:spacing w:before="480" w:after="480" w:line="288" w:lineRule="auto"/>
        <w:ind w:left="0"/>
      </w:pPr>
      <w:r>
        <w:rPr>
          <w:rFonts w:eastAsia="等线" w:ascii="Arial" w:cs="Arial" w:hAnsi="Arial"/>
          <w:b w:val="true"/>
          <w:sz w:val="52"/>
        </w:rPr>
        <w:t>ai rebuttal数据集</w:t>
      </w:r>
    </w:p>
    <w:p>
      <w:pPr>
        <w:pStyle w:val="3"/>
        <w:spacing w:before="300" w:after="120" w:line="288" w:lineRule="auto"/>
        <w:ind w:left="0"/>
        <w:jc w:val="left"/>
        <w:outlineLvl w:val="2"/>
      </w:pPr>
      <w:bookmarkStart w:name="heading_0" w:id="0"/>
      <w:r>
        <w:rPr>
          <w:rFonts w:eastAsia="等线" w:ascii="Arial" w:cs="Arial" w:hAnsi="Arial"/>
          <w:b w:val="true"/>
          <w:sz w:val="30"/>
        </w:rPr>
        <w:t>开放学术评审平台</w:t>
      </w:r>
      <w:bookmarkEnd w:id="0"/>
    </w:p>
    <w:p>
      <w:pPr>
        <w:numPr>
          <w:numId w:val="1"/>
        </w:numPr>
        <w:spacing w:before="120" w:after="120" w:line="288" w:lineRule="auto"/>
        <w:ind w:left="0"/>
        <w:jc w:val="left"/>
      </w:pPr>
      <w:r>
        <w:rPr>
          <w:rFonts w:eastAsia="等线" w:ascii="Arial" w:cs="Arial" w:hAnsi="Arial"/>
          <w:sz w:val="22"/>
        </w:rPr>
        <w:t>OpenReview</w:t>
      </w:r>
    </w:p>
    <w:p>
      <w:pPr>
        <w:numPr>
          <w:numId w:val="2"/>
        </w:numPr>
        <w:spacing w:before="120" w:after="120" w:line="288" w:lineRule="auto"/>
        <w:ind w:left="453"/>
        <w:jc w:val="left"/>
      </w:pPr>
      <w:r>
        <w:rPr>
          <w:rFonts w:eastAsia="等线" w:ascii="Arial" w:cs="Arial" w:hAnsi="Arial"/>
          <w:sz w:val="22"/>
        </w:rPr>
        <w:t>内容：公开ICLR等顶会的论文评审全过程，包括审稿意见、作者rebuttal及分数变动记录。</w:t>
      </w:r>
    </w:p>
    <w:p>
      <w:pPr>
        <w:numPr>
          <w:numId w:val="3"/>
        </w:numPr>
        <w:spacing w:before="120" w:after="120" w:line="288" w:lineRule="auto"/>
        <w:ind w:left="453"/>
        <w:jc w:val="left"/>
      </w:pPr>
      <w:r>
        <w:rPr>
          <w:rFonts w:eastAsia="等线" w:ascii="Arial" w:cs="Arial" w:hAnsi="Arial"/>
          <w:sz w:val="22"/>
        </w:rPr>
        <w:t>访问：</w:t>
      </w:r>
      <w:hyperlink r:id="rId5">
        <w:r>
          <w:rPr>
            <w:rFonts w:eastAsia="等线" w:ascii="Arial" w:cs="Arial" w:hAnsi="Arial"/>
            <w:color w:val="3370ff"/>
            <w:sz w:val="22"/>
          </w:rPr>
          <w:t>OpenReview官网</w:t>
        </w:r>
      </w:hyperlink>
    </w:p>
    <w:p>
      <w:pPr>
        <w:numPr>
          <w:numId w:val="4"/>
        </w:numPr>
        <w:spacing w:before="120" w:after="120" w:line="288" w:lineRule="auto"/>
        <w:ind w:left="0"/>
        <w:jc w:val="left"/>
      </w:pPr>
      <w:r>
        <w:rPr>
          <w:rFonts w:eastAsia="等线" w:ascii="Arial" w:cs="Arial" w:hAnsi="Arial"/>
          <w:sz w:val="22"/>
        </w:rPr>
        <w:t>PubPeer</w:t>
      </w:r>
    </w:p>
    <w:p>
      <w:pPr>
        <w:numPr>
          <w:numId w:val="5"/>
        </w:numPr>
        <w:spacing w:before="120" w:after="120" w:line="288" w:lineRule="auto"/>
        <w:ind w:left="453"/>
        <w:jc w:val="left"/>
      </w:pPr>
      <w:r>
        <w:rPr>
          <w:rFonts w:eastAsia="等线" w:ascii="Arial" w:cs="Arial" w:hAnsi="Arial"/>
          <w:sz w:val="22"/>
        </w:rPr>
        <w:t>内容：学者对已发表论文的公开评论平台，涵盖数据质疑、方法争议等。</w:t>
      </w:r>
    </w:p>
    <w:p>
      <w:pPr>
        <w:numPr>
          <w:numId w:val="6"/>
        </w:numPr>
        <w:spacing w:before="120" w:after="120" w:line="288" w:lineRule="auto"/>
        <w:ind w:left="453"/>
        <w:jc w:val="left"/>
      </w:pPr>
      <w:r>
        <w:rPr>
          <w:rFonts w:eastAsia="等线" w:ascii="Arial" w:cs="Arial" w:hAnsi="Arial"/>
          <w:sz w:val="22"/>
        </w:rPr>
        <w:t>作用：分析争议性rebuttal的公共舆论场。</w:t>
      </w:r>
    </w:p>
    <w:p>
      <w:pPr>
        <w:numPr>
          <w:numId w:val="7"/>
        </w:numPr>
        <w:spacing w:before="120" w:after="120" w:line="288" w:lineRule="auto"/>
        <w:ind w:left="453"/>
        <w:jc w:val="left"/>
      </w:pPr>
      <w:r>
        <w:rPr>
          <w:rFonts w:eastAsia="等线" w:ascii="Arial" w:cs="Arial" w:hAnsi="Arial"/>
          <w:sz w:val="22"/>
        </w:rPr>
        <w:t>访问：</w:t>
      </w:r>
      <w:hyperlink r:id="rId6">
        <w:r>
          <w:rPr>
            <w:rFonts w:eastAsia="等线" w:ascii="Arial" w:cs="Arial" w:hAnsi="Arial"/>
            <w:color w:val="3370ff"/>
            <w:sz w:val="22"/>
          </w:rPr>
          <w:t>PubPeer</w:t>
        </w:r>
      </w:hyperlink>
    </w:p>
    <w:p>
      <w:pPr>
        <w:numPr>
          <w:numId w:val="8"/>
        </w:numPr>
        <w:spacing w:before="120" w:after="120" w:line="288" w:lineRule="auto"/>
        <w:ind w:left="0"/>
        <w:jc w:val="left"/>
      </w:pPr>
      <w:r>
        <w:rPr>
          <w:rFonts w:eastAsia="等线" w:ascii="Arial" w:cs="Arial" w:hAnsi="Arial"/>
          <w:sz w:val="22"/>
        </w:rPr>
        <w:t>Web of Science</w:t>
      </w:r>
    </w:p>
    <w:p>
      <w:pPr>
        <w:numPr>
          <w:numId w:val="9"/>
        </w:numPr>
        <w:spacing w:before="120" w:after="120" w:line="288" w:lineRule="auto"/>
        <w:ind w:left="453"/>
        <w:jc w:val="left"/>
      </w:pPr>
      <w:r>
        <w:rPr>
          <w:rFonts w:eastAsia="等线" w:ascii="Arial" w:cs="Arial" w:hAnsi="Arial"/>
          <w:sz w:val="22"/>
        </w:rPr>
        <w:t>内容：传统权威数据库，包含大量论文审稿记录（需订阅），但评价体系（影响因子）被批易操纵。</w:t>
      </w:r>
    </w:p>
    <w:p>
      <w:pPr>
        <w:numPr>
          <w:numId w:val="10"/>
        </w:numPr>
        <w:spacing w:before="120" w:after="120" w:line="288" w:lineRule="auto"/>
        <w:ind w:left="453"/>
        <w:jc w:val="left"/>
      </w:pPr>
      <w:r>
        <w:rPr>
          <w:rFonts w:eastAsia="等线" w:ascii="Arial" w:cs="Arial" w:hAnsi="Arial"/>
          <w:sz w:val="22"/>
        </w:rPr>
        <w:t>访问：</w:t>
      </w:r>
      <w:hyperlink r:id="rId7">
        <w:r>
          <w:rPr>
            <w:rFonts w:eastAsia="等线" w:ascii="Arial" w:cs="Arial" w:hAnsi="Arial"/>
            <w:color w:val="3370ff"/>
            <w:sz w:val="22"/>
          </w:rPr>
          <w:t>Web of Science官网</w:t>
        </w:r>
      </w:hyperlink>
      <w:r>
        <w:rPr>
          <w:rFonts w:eastAsia="等线" w:ascii="Arial" w:cs="Arial" w:hAnsi="Arial"/>
          <w:sz w:val="22"/>
        </w:rPr>
        <w:t>，点击查看开放的同行评审，似乎没有rebuttal只有review？而且不是每个文献都</w:t>
      </w:r>
      <w:r>
        <w:rPr>
          <w:rFonts w:eastAsia="等线" w:ascii="Arial" w:cs="Arial" w:hAnsi="Arial"/>
          <w:b w:val="true"/>
          <w:sz w:val="22"/>
        </w:rPr>
        <w:t>支持开放同行评审，这似乎跟作者选择开不开放有关</w:t>
      </w:r>
    </w:p>
    <w:p>
      <w:pPr>
        <w:spacing w:before="120" w:after="120" w:line="288" w:lineRule="auto"/>
        <w:ind w:left="453"/>
        <w:jc w:val="left"/>
      </w:pPr>
      <w:r>
        <w:rPr>
          <w:rFonts w:eastAsia="等线" w:ascii="Arial" w:cs="Arial" w:hAnsi="Arial"/>
          <w:b w:val="true"/>
          <w:sz w:val="22"/>
        </w:rPr>
        <w:t>路径一：从具体文献入手</w:t>
      </w:r>
    </w:p>
    <w:p>
      <w:pPr>
        <w:numPr>
          <w:numId w:val="11"/>
        </w:numPr>
        <w:spacing w:before="120" w:after="120" w:line="288" w:lineRule="auto"/>
        <w:ind w:left="453"/>
        <w:jc w:val="left"/>
      </w:pPr>
      <w:r>
        <w:rPr>
          <w:rFonts w:eastAsia="等线" w:ascii="Arial" w:cs="Arial" w:hAnsi="Arial"/>
          <w:sz w:val="22"/>
        </w:rPr>
        <w:t>在Web of Science中检索并点击</w:t>
      </w:r>
      <w:r>
        <w:rPr>
          <w:rFonts w:eastAsia="等线" w:ascii="Arial" w:cs="Arial" w:hAnsi="Arial"/>
          <w:b w:val="true"/>
          <w:sz w:val="22"/>
        </w:rPr>
        <w:t>感兴趣的文献</w:t>
      </w:r>
      <w:r>
        <w:rPr>
          <w:rFonts w:eastAsia="等线" w:ascii="Arial" w:cs="Arial" w:hAnsi="Arial"/>
          <w:sz w:val="22"/>
        </w:rPr>
        <w:t>；</w:t>
      </w:r>
    </w:p>
    <w:p>
      <w:pPr>
        <w:numPr>
          <w:numId w:val="12"/>
        </w:numPr>
        <w:spacing w:before="120" w:after="120" w:line="288" w:lineRule="auto"/>
        <w:ind w:left="453"/>
        <w:jc w:val="left"/>
      </w:pPr>
      <w:r>
        <w:rPr>
          <w:rFonts w:eastAsia="等线" w:ascii="Arial" w:cs="Arial" w:hAnsi="Arial"/>
          <w:sz w:val="22"/>
        </w:rPr>
        <w:t>若该文献</w:t>
      </w:r>
      <w:r>
        <w:rPr>
          <w:rFonts w:eastAsia="等线" w:ascii="Arial" w:cs="Arial" w:hAnsi="Arial"/>
          <w:b w:val="true"/>
          <w:sz w:val="22"/>
        </w:rPr>
        <w:t>支持开放同行评审</w:t>
      </w:r>
      <w:r>
        <w:rPr>
          <w:rFonts w:eastAsia="等线" w:ascii="Arial" w:cs="Arial" w:hAnsi="Arial"/>
          <w:sz w:val="22"/>
        </w:rPr>
        <w:t>，将在详情页看到</w:t>
      </w:r>
      <w:r>
        <w:rPr>
          <w:rFonts w:eastAsia="等线" w:ascii="Arial" w:cs="Arial" w:hAnsi="Arial"/>
          <w:b w:val="true"/>
          <w:sz w:val="22"/>
        </w:rPr>
        <w:t>“View open peer reviews” 链接</w:t>
      </w:r>
      <w:r>
        <w:rPr>
          <w:rFonts w:eastAsia="等线" w:ascii="Arial" w:cs="Arial" w:hAnsi="Arial"/>
          <w:sz w:val="22"/>
        </w:rPr>
        <w:t xml:space="preserve">, </w:t>
      </w:r>
      <w:r>
        <w:rPr>
          <w:rFonts w:eastAsia="等线" w:ascii="Arial" w:cs="Arial" w:hAnsi="Arial"/>
          <w:b w:val="true"/>
          <w:sz w:val="22"/>
        </w:rPr>
        <w:t>点击进入</w:t>
      </w:r>
      <w:r>
        <w:rPr>
          <w:rFonts w:eastAsia="等线" w:ascii="Arial" w:cs="Arial" w:hAnsi="Arial"/>
          <w:sz w:val="22"/>
        </w:rPr>
        <w:t>；</w:t>
      </w:r>
    </w:p>
    <w:p>
      <w:pPr>
        <w:numPr>
          <w:numId w:val="13"/>
        </w:numPr>
        <w:spacing w:before="120" w:after="120" w:line="288" w:lineRule="auto"/>
        <w:ind w:left="453"/>
        <w:jc w:val="left"/>
      </w:pPr>
      <w:r>
        <w:rPr>
          <w:rFonts w:eastAsia="等线" w:ascii="Arial" w:cs="Arial" w:hAnsi="Arial"/>
          <w:sz w:val="22"/>
        </w:rPr>
        <w:t>在新页面中点击 “Open and View All” 或选择具体环节，即可查看该论文的审稿意见、编辑决策、作者回复等评审信息。</w:t>
      </w:r>
    </w:p>
    <w:p>
      <w:pPr>
        <w:spacing w:before="120" w:after="120" w:line="288" w:lineRule="auto"/>
        <w:ind w:left="453"/>
        <w:jc w:val="center"/>
      </w:pPr>
      <w:r>
        <w:drawing>
          <wp:inline distT="0" distR="0" distB="0" distL="0">
            <wp:extent cx="5257800" cy="26574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8"/>
                    <a:stretch>
                      <a:fillRect/>
                    </a:stretch>
                  </pic:blipFill>
                  <pic:spPr>
                    <a:xfrm>
                      <a:off x="0" y="0"/>
                      <a:ext cx="5257800" cy="2657475"/>
                    </a:xfrm>
                    <a:prstGeom prst="rect">
                      <a:avLst/>
                    </a:prstGeom>
                  </pic:spPr>
                </pic:pic>
              </a:graphicData>
            </a:graphic>
          </wp:inline>
        </w:drawing>
      </w:r>
    </w:p>
    <w:p>
      <w:pPr>
        <w:spacing w:before="120" w:after="120" w:line="288" w:lineRule="auto"/>
        <w:ind w:left="453"/>
        <w:jc w:val="center"/>
      </w:pPr>
      <w:r>
        <w:drawing>
          <wp:inline distT="0" distR="0" distB="0" distL="0">
            <wp:extent cx="5257800" cy="33147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9"/>
                    <a:stretch>
                      <a:fillRect/>
                    </a:stretch>
                  </pic:blipFill>
                  <pic:spPr>
                    <a:xfrm>
                      <a:off x="0" y="0"/>
                      <a:ext cx="5257800" cy="3314700"/>
                    </a:xfrm>
                    <a:prstGeom prst="rect">
                      <a:avLst/>
                    </a:prstGeom>
                  </pic:spPr>
                </pic:pic>
              </a:graphicData>
            </a:graphic>
          </wp:inline>
        </w:drawing>
      </w:r>
    </w:p>
    <w:p>
      <w:pPr>
        <w:spacing w:before="120" w:after="120" w:line="288" w:lineRule="auto"/>
        <w:ind w:left="453"/>
        <w:jc w:val="center"/>
      </w:pPr>
      <w:r>
        <w:rPr>
          <w:rFonts w:eastAsia="等线" w:ascii="Arial" w:cs="Arial" w:hAnsi="Arial"/>
          <w:color w:val="8F959E"/>
          <w:sz w:val="22"/>
        </w:rPr>
        <w:t>这与下面的publishing的案例给的是同一篇论文</w:t>
        <w:br/>
      </w:r>
    </w:p>
    <w:p>
      <w:pPr>
        <w:spacing w:before="120" w:after="120" w:line="288" w:lineRule="auto"/>
        <w:ind w:left="453"/>
        <w:jc w:val="left"/>
      </w:pPr>
      <w:r>
        <w:rPr>
          <w:rFonts w:eastAsia="等线" w:ascii="Arial" w:cs="Arial" w:hAnsi="Arial"/>
          <w:b w:val="true"/>
          <w:sz w:val="22"/>
        </w:rPr>
        <w:t>路径二：从主题筛选入手</w:t>
      </w:r>
    </w:p>
    <w:p>
      <w:pPr>
        <w:numPr>
          <w:numId w:val="14"/>
        </w:numPr>
        <w:spacing w:before="120" w:after="120" w:line="288" w:lineRule="auto"/>
        <w:ind w:left="453"/>
        <w:jc w:val="left"/>
      </w:pPr>
      <w:r>
        <w:rPr>
          <w:rFonts w:eastAsia="等线" w:ascii="Arial" w:cs="Arial" w:hAnsi="Arial"/>
          <w:sz w:val="22"/>
        </w:rPr>
        <w:t>在Web of Science中检索</w:t>
      </w:r>
      <w:r>
        <w:rPr>
          <w:rFonts w:eastAsia="等线" w:ascii="Arial" w:cs="Arial" w:hAnsi="Arial"/>
          <w:b w:val="true"/>
          <w:sz w:val="22"/>
        </w:rPr>
        <w:t>感兴趣的研究主题</w:t>
      </w:r>
      <w:r>
        <w:rPr>
          <w:rFonts w:eastAsia="等线" w:ascii="Arial" w:cs="Arial" w:hAnsi="Arial"/>
          <w:sz w:val="22"/>
        </w:rPr>
        <w:t>（如“hypertension”）；</w:t>
      </w:r>
    </w:p>
    <w:p>
      <w:pPr>
        <w:numPr>
          <w:numId w:val="15"/>
        </w:numPr>
        <w:spacing w:before="120" w:after="120" w:line="288" w:lineRule="auto"/>
        <w:ind w:left="453"/>
        <w:jc w:val="left"/>
      </w:pPr>
      <w:r>
        <w:rPr>
          <w:rFonts w:eastAsia="等线" w:ascii="Arial" w:cs="Arial" w:hAnsi="Arial"/>
          <w:sz w:val="22"/>
        </w:rPr>
        <w:t xml:space="preserve">在页面左侧的 </w:t>
      </w:r>
      <w:r>
        <w:rPr>
          <w:rFonts w:eastAsia="等线" w:ascii="Arial" w:cs="Arial" w:hAnsi="Arial"/>
          <w:b w:val="true"/>
          <w:sz w:val="22"/>
        </w:rPr>
        <w:t>“Quick Filters”</w:t>
      </w:r>
      <w:r>
        <w:rPr>
          <w:rFonts w:eastAsia="等线" w:ascii="Arial" w:cs="Arial" w:hAnsi="Arial"/>
          <w:sz w:val="22"/>
        </w:rPr>
        <w:t xml:space="preserve">（快速过滤） 栏中，勾选 </w:t>
      </w:r>
      <w:r>
        <w:rPr>
          <w:rFonts w:eastAsia="等线" w:ascii="Arial" w:cs="Arial" w:hAnsi="Arial"/>
          <w:b w:val="true"/>
          <w:sz w:val="22"/>
        </w:rPr>
        <w:t>“Open publisher-invited reviews”（公开出版商-受邀审阅）</w:t>
      </w:r>
      <w:r>
        <w:rPr>
          <w:rFonts w:eastAsia="等线" w:ascii="Arial" w:cs="Arial" w:hAnsi="Arial"/>
          <w:sz w:val="22"/>
        </w:rPr>
        <w:t>，点击</w:t>
      </w:r>
      <w:r>
        <w:rPr>
          <w:rFonts w:eastAsia="等线" w:ascii="Arial" w:cs="Arial" w:hAnsi="Arial"/>
          <w:b w:val="true"/>
          <w:sz w:val="22"/>
        </w:rPr>
        <w:t>“Refine”（精炼）</w:t>
      </w:r>
      <w:r>
        <w:rPr>
          <w:rFonts w:eastAsia="等线" w:ascii="Arial" w:cs="Arial" w:hAnsi="Arial"/>
          <w:sz w:val="22"/>
        </w:rPr>
        <w:t>；</w:t>
      </w:r>
    </w:p>
    <w:p>
      <w:pPr>
        <w:numPr>
          <w:numId w:val="16"/>
        </w:numPr>
        <w:spacing w:before="120" w:after="120" w:line="288" w:lineRule="auto"/>
        <w:ind w:left="453"/>
        <w:jc w:val="left"/>
      </w:pPr>
      <w:r>
        <w:rPr>
          <w:rFonts w:eastAsia="等线" w:ascii="Arial" w:cs="Arial" w:hAnsi="Arial"/>
          <w:sz w:val="22"/>
        </w:rPr>
        <w:t>系统将展示符合条件的文献，点击任意一篇，即可查看其开放评审记录（操作方式同路径一）。</w:t>
      </w:r>
    </w:p>
    <w:p>
      <w:pPr>
        <w:spacing w:before="120" w:after="120" w:line="288" w:lineRule="auto"/>
        <w:ind w:left="453"/>
        <w:jc w:val="left"/>
      </w:pPr>
      <w:r>
        <w:rPr>
          <w:rFonts w:eastAsia="等线" w:ascii="Arial" w:cs="Arial" w:hAnsi="Arial"/>
          <w:sz w:val="22"/>
        </w:rPr>
        <w:t>但是似乎wos关掉了这个功能？</w:t>
      </w:r>
    </w:p>
    <w:p>
      <w:pPr>
        <w:spacing w:before="120" w:after="120" w:line="288" w:lineRule="auto"/>
        <w:ind w:left="453"/>
        <w:jc w:val="left"/>
      </w:pPr>
      <w:r>
        <w:rPr>
          <w:rFonts w:eastAsia="等线" w:ascii="Arial" w:cs="Arial" w:hAnsi="Arial"/>
          <w:sz w:val="22"/>
        </w:rPr>
        <w:t>可能解决方式如下：</w:t>
      </w:r>
    </w:p>
    <w:p>
      <w:pPr>
        <w:spacing w:before="120" w:after="120" w:line="288" w:lineRule="auto"/>
        <w:ind w:left="453"/>
        <w:jc w:val="left"/>
      </w:pPr>
      <w:r>
        <w:rPr>
          <w:rFonts w:eastAsia="等线" w:ascii="Arial" w:cs="Arial" w:hAnsi="Arial"/>
          <w:sz w:val="22"/>
        </w:rPr>
        <w:t>如您的界面截图所示，左侧的highly cited paper和hot paper的图标，您可以登陆Essential Science Indicators的数据库后，再打开Web of Science平台的检索界面进行检索。如无法登陆或仍不能出现相关图标，您可以与咱们学校图书馆老师沟通，确认是否当前已经有</w:t>
      </w:r>
      <w:hyperlink r:id="rId10">
        <w:r>
          <w:rPr>
            <w:rFonts w:eastAsia="等线" w:ascii="Arial" w:cs="Arial" w:hAnsi="Arial"/>
            <w:color w:val="3370ff"/>
            <w:sz w:val="22"/>
          </w:rPr>
          <w:t>Essential Science Indicators</w:t>
        </w:r>
      </w:hyperlink>
      <w:r>
        <w:rPr>
          <w:rFonts w:eastAsia="等线" w:ascii="Arial" w:cs="Arial" w:hAnsi="Arial"/>
          <w:sz w:val="22"/>
        </w:rPr>
        <w:t>数据库的访问权限。</w:t>
      </w:r>
    </w:p>
    <w:p>
      <w:pPr>
        <w:spacing w:before="120" w:after="120" w:line="288" w:lineRule="auto"/>
        <w:ind w:left="453"/>
        <w:jc w:val="left"/>
      </w:pPr>
      <w:r>
        <w:rPr>
          <w:rFonts w:eastAsia="等线" w:ascii="Arial" w:cs="Arial" w:hAnsi="Arial"/>
          <w:sz w:val="22"/>
        </w:rPr>
        <w:t>似乎需要购买wos的查找资源？</w:t>
      </w:r>
    </w:p>
    <w:p>
      <w:pPr>
        <w:spacing w:before="120" w:after="120" w:line="288" w:lineRule="auto"/>
        <w:ind w:left="453"/>
        <w:jc w:val="left"/>
      </w:pPr>
      <w:r>
        <w:rPr>
          <w:rFonts w:eastAsia="等线" w:ascii="Arial" w:cs="Arial" w:hAnsi="Arial"/>
          <w:b w:val="true"/>
          <w:sz w:val="22"/>
          <w:shd w:fill="dee0e3"/>
        </w:rPr>
        <w:t>[图片下载失败]</w:t>
      </w:r>
    </w:p>
    <w:p>
      <w:pPr>
        <w:pStyle w:val="2"/>
        <w:spacing w:before="320" w:after="120" w:line="288" w:lineRule="auto"/>
        <w:ind w:left="0"/>
        <w:jc w:val="left"/>
        <w:outlineLvl w:val="1"/>
      </w:pPr>
      <w:bookmarkStart w:name="heading_1" w:id="1"/>
      <w:r>
        <w:rPr>
          <w:rFonts w:eastAsia="等线" w:ascii="Arial" w:cs="Arial" w:hAnsi="Arial"/>
          <w:b w:val="true"/>
          <w:sz w:val="32"/>
        </w:rPr>
        <w:t>好处</w:t>
      </w:r>
      <w:bookmarkEnd w:id="1"/>
    </w:p>
    <w:p>
      <w:pPr>
        <w:spacing w:before="120" w:after="120" w:line="288" w:lineRule="auto"/>
        <w:ind w:left="0"/>
        <w:jc w:val="left"/>
      </w:pPr>
      <w:hyperlink r:id="rId11">
        <w:r>
          <w:rPr>
            <w:rFonts w:eastAsia="等线" w:ascii="Arial" w:cs="Arial" w:hAnsi="Arial"/>
            <w:color w:val="3370ff"/>
            <w:sz w:val="22"/>
          </w:rPr>
          <w:t>可以直接在网站内导出文献全记录信息</w:t>
        </w:r>
      </w:hyperlink>
    </w:p>
    <w:p>
      <w:pPr>
        <w:numPr>
          <w:numId w:val="17"/>
        </w:numPr>
        <w:spacing w:before="120" w:after="120" w:line="288" w:lineRule="auto"/>
        <w:ind w:left="0"/>
        <w:jc w:val="left"/>
      </w:pPr>
      <w:hyperlink r:id="rId12">
        <w:r>
          <w:rPr>
            <w:rFonts w:eastAsia="等线" w:ascii="Arial" w:cs="Arial" w:hAnsi="Arial"/>
            <w:color w:val="3370ff"/>
            <w:sz w:val="22"/>
          </w:rPr>
          <w:t>publishing</w:t>
        </w:r>
      </w:hyperlink>
    </w:p>
    <w:p>
      <w:pPr>
        <w:numPr>
          <w:numId w:val="18"/>
        </w:numPr>
        <w:spacing w:before="120" w:after="120" w:line="288" w:lineRule="auto"/>
        <w:ind w:left="453"/>
        <w:jc w:val="left"/>
      </w:pPr>
      <w:r>
        <w:rPr>
          <w:rFonts w:eastAsia="等线" w:ascii="Arial" w:cs="Arial" w:hAnsi="Arial"/>
          <w:sz w:val="22"/>
        </w:rPr>
        <w:t>案例来源</w:t>
      </w:r>
      <w:r>
        <w:rPr>
          <w:rFonts w:eastAsia="等线" w:ascii="Arial" w:cs="Arial" w:hAnsi="Arial"/>
          <w:sz w:val="22"/>
        </w:rPr>
        <w:t>https://pubs.rsc.org/en/content/articlelanding/2024/sc/d4sc04197f</w:t>
      </w:r>
    </w:p>
    <w:p>
      <w:pPr>
        <w:numPr>
          <w:numId w:val="19"/>
        </w:numPr>
        <w:spacing w:before="120" w:after="120" w:line="288" w:lineRule="auto"/>
        <w:ind w:left="453"/>
        <w:jc w:val="left"/>
      </w:pPr>
      <w:r>
        <w:rPr>
          <w:rFonts w:eastAsia="等线" w:ascii="Arial" w:cs="Arial" w:hAnsi="Arial"/>
          <w:sz w:val="22"/>
        </w:rPr>
        <w:t>在期刊论文主页右侧Transparent peer review（透明的同行评审）下有一个连接“View this article’s peer review history”（查看此文章同行评审历史）如下图，点击后直接跳转到上面的网站Web of Science了，这3和4是一个平台啊（）</w:t>
      </w:r>
    </w:p>
    <w:p>
      <w:pPr>
        <w:spacing w:before="120" w:after="120" w:line="288" w:lineRule="auto"/>
        <w:ind w:left="0"/>
        <w:jc w:val="center"/>
      </w:pPr>
      <w:r>
        <w:drawing>
          <wp:inline distT="0" distR="0" distB="0" distL="0">
            <wp:extent cx="5257800" cy="3124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3"/>
                    <a:stretch>
                      <a:fillRect/>
                    </a:stretch>
                  </pic:blipFill>
                  <pic:spPr>
                    <a:xfrm>
                      <a:off x="0" y="0"/>
                      <a:ext cx="5257800" cy="3124200"/>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br/>
      </w:r>
    </w:p>
    <w:p>
      <w:pPr>
        <w:numPr>
          <w:numId w:val="20"/>
        </w:numPr>
        <w:spacing w:before="120" w:after="120" w:line="288" w:lineRule="auto"/>
        <w:ind w:left="0"/>
        <w:jc w:val="left"/>
      </w:pPr>
      <w:r>
        <w:rPr>
          <w:rFonts w:eastAsia="等线" w:ascii="Arial" w:cs="Arial" w:hAnsi="Arial"/>
          <w:sz w:val="22"/>
        </w:rPr>
        <w:t>orcid</w:t>
      </w:r>
    </w:p>
    <w:p>
      <w:pPr>
        <w:spacing w:before="120" w:after="120" w:line="288" w:lineRule="auto"/>
        <w:ind w:left="0"/>
        <w:jc w:val="center"/>
      </w:pPr>
      <w:r>
        <w:drawing>
          <wp:inline distT="0" distR="0" distB="0" distL="0">
            <wp:extent cx="5257800" cy="30194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4"/>
                    <a:stretch>
                      <a:fillRect/>
                    </a:stretch>
                  </pic:blipFill>
                  <pic:spPr>
                    <a:xfrm>
                      <a:off x="0" y="0"/>
                      <a:ext cx="5257800" cy="3019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举例：</w:t>
      </w:r>
      <w:r>
        <w:rPr>
          <w:rFonts w:eastAsia="等线" w:ascii="Arial" w:cs="Arial" w:hAnsi="Arial"/>
          <w:sz w:val="22"/>
        </w:rPr>
        <w:t>https://orcid.org/0000-0002-6844-1289</w:t>
      </w:r>
    </w:p>
    <w:p>
      <w:pPr>
        <w:spacing w:before="120" w:after="120" w:line="288" w:lineRule="auto"/>
        <w:ind w:left="0"/>
        <w:jc w:val="left"/>
      </w:pPr>
      <w:r>
        <w:rPr>
          <w:rFonts w:eastAsia="等线" w:ascii="Arial" w:cs="Arial" w:hAnsi="Arial"/>
          <w:sz w:val="22"/>
        </w:rPr>
        <w:t>其实似乎它跟wos是一起的？</w:t>
      </w:r>
    </w:p>
    <w:p>
      <w:pPr>
        <w:pStyle w:val="3"/>
        <w:spacing w:before="300" w:after="120" w:line="288" w:lineRule="auto"/>
        <w:ind w:left="0"/>
        <w:jc w:val="left"/>
        <w:outlineLvl w:val="2"/>
      </w:pPr>
      <w:bookmarkStart w:name="heading_2" w:id="2"/>
      <w:r>
        <w:rPr>
          <w:rFonts w:eastAsia="等线" w:ascii="Arial" w:cs="Arial" w:hAnsi="Arial"/>
          <w:b w:val="true"/>
          <w:sz w:val="30"/>
        </w:rPr>
        <w:t>专业Rebuttal研究数据集</w:t>
      </w:r>
      <w:bookmarkEnd w:id="2"/>
    </w:p>
    <w:p>
      <w:pPr>
        <w:numPr>
          <w:numId w:val="21"/>
        </w:numPr>
        <w:spacing w:before="120" w:after="120" w:line="288" w:lineRule="auto"/>
        <w:ind w:left="0"/>
        <w:jc w:val="left"/>
      </w:pPr>
      <w:r>
        <w:rPr>
          <w:rFonts w:eastAsia="等线" w:ascii="Arial" w:cs="Arial" w:hAnsi="Arial"/>
          <w:sz w:val="22"/>
        </w:rPr>
        <w:t>JITSUPEER数据集</w:t>
      </w:r>
    </w:p>
    <w:p>
      <w:pPr>
        <w:numPr>
          <w:numId w:val="22"/>
        </w:numPr>
        <w:spacing w:before="120" w:after="120" w:line="288" w:lineRule="auto"/>
        <w:ind w:left="453"/>
        <w:jc w:val="left"/>
      </w:pPr>
      <w:r>
        <w:rPr>
          <w:rFonts w:eastAsia="等线" w:ascii="Arial" w:cs="Arial" w:hAnsi="Arial"/>
          <w:sz w:val="22"/>
        </w:rPr>
        <w:t>内容：结合心理学理论分析审稿人的态度根源（如潜在信仰）与论文主题，提供“态度-主题-反驳行动”关联的标注数据。</w:t>
      </w:r>
    </w:p>
    <w:p>
      <w:pPr>
        <w:numPr>
          <w:numId w:val="23"/>
        </w:numPr>
        <w:spacing w:before="120" w:after="120" w:line="288" w:lineRule="auto"/>
        <w:ind w:left="453"/>
        <w:jc w:val="left"/>
      </w:pPr>
      <w:r>
        <w:rPr>
          <w:rFonts w:eastAsia="等线" w:ascii="Arial" w:cs="Arial" w:hAnsi="Arial"/>
          <w:sz w:val="22"/>
        </w:rPr>
        <w:t>基础数据源：基于ICLR 2019-2020的评审数据（DISAPERE数据集）和2018年ICLR数据（PEER-REVIEW-ANALYZE数据集），包含审稿句子分解、极性标注、反驳行动分类等3。</w:t>
      </w:r>
    </w:p>
    <w:p>
      <w:pPr>
        <w:numPr>
          <w:numId w:val="24"/>
        </w:numPr>
        <w:spacing w:before="120" w:after="120" w:line="288" w:lineRule="auto"/>
        <w:ind w:left="453"/>
        <w:jc w:val="left"/>
      </w:pPr>
      <w:r>
        <w:rPr>
          <w:rFonts w:eastAsia="等线" w:ascii="Arial" w:cs="Arial" w:hAnsi="Arial"/>
          <w:sz w:val="22"/>
        </w:rPr>
        <w:t>应用：支持生成针对性反驳模板，提升辩论有效性。</w:t>
      </w:r>
    </w:p>
    <w:p>
      <w:pPr>
        <w:numPr>
          <w:numId w:val="25"/>
        </w:numPr>
        <w:spacing w:before="120" w:after="120" w:line="288" w:lineRule="auto"/>
        <w:ind w:left="453"/>
        <w:jc w:val="left"/>
      </w:pPr>
      <w:r>
        <w:rPr>
          <w:rFonts w:eastAsia="等线" w:ascii="Arial" w:cs="Arial" w:hAnsi="Arial"/>
          <w:sz w:val="22"/>
        </w:rPr>
        <w:t>访问：</w:t>
      </w:r>
      <w:hyperlink r:id="rId15">
        <w:r>
          <w:rPr>
            <w:rFonts w:eastAsia="等线" w:ascii="Arial" w:cs="Arial" w:hAnsi="Arial"/>
            <w:color w:val="3370ff"/>
            <w:sz w:val="22"/>
          </w:rPr>
          <w:t>JITSUPEER论文与数据</w:t>
        </w:r>
      </w:hyperlink>
    </w:p>
    <w:p>
      <w:pPr>
        <w:numPr>
          <w:numId w:val="26"/>
        </w:numPr>
        <w:spacing w:before="120" w:after="120" w:line="288" w:lineRule="auto"/>
        <w:ind w:left="0"/>
        <w:jc w:val="left"/>
      </w:pPr>
      <w:r>
        <w:rPr>
          <w:rFonts w:eastAsia="等线" w:ascii="Arial" w:cs="Arial" w:hAnsi="Arial"/>
          <w:sz w:val="22"/>
        </w:rPr>
        <w:t>DISAPERE数据集</w:t>
      </w:r>
    </w:p>
    <w:p>
      <w:pPr>
        <w:numPr>
          <w:numId w:val="27"/>
        </w:numPr>
        <w:spacing w:before="120" w:after="120" w:line="288" w:lineRule="auto"/>
        <w:ind w:left="453"/>
        <w:jc w:val="left"/>
      </w:pPr>
      <w:r>
        <w:rPr>
          <w:rFonts w:eastAsia="等线" w:ascii="Arial" w:cs="Arial" w:hAnsi="Arial"/>
          <w:sz w:val="22"/>
        </w:rPr>
        <w:t>内容：收录ICLR会议的审稿与作者反驳内容，细分为单句级注释，涵盖审稿方面（如创新性、实验严谨性）、反驳行动（如认同、部分修正）及二者关联。</w:t>
      </w:r>
    </w:p>
    <w:p>
      <w:pPr>
        <w:numPr>
          <w:numId w:val="28"/>
        </w:numPr>
        <w:spacing w:before="120" w:after="120" w:line="288" w:lineRule="auto"/>
        <w:ind w:left="453"/>
        <w:jc w:val="left"/>
      </w:pPr>
      <w:r>
        <w:rPr>
          <w:rFonts w:eastAsia="等线" w:ascii="Arial" w:cs="Arial" w:hAnsi="Arial"/>
          <w:sz w:val="22"/>
        </w:rPr>
        <w:t>访问：</w:t>
      </w:r>
      <w:hyperlink r:id="rId16">
        <w:r>
          <w:rPr>
            <w:rFonts w:eastAsia="等线" w:ascii="Arial" w:cs="Arial" w:hAnsi="Arial"/>
            <w:color w:val="3370ff"/>
            <w:sz w:val="22"/>
          </w:rPr>
          <w:t>DISAPERE项目页面</w:t>
        </w:r>
      </w:hyperlink>
    </w:p>
    <w:p>
      <w:pPr>
        <w:numPr>
          <w:numId w:val="29"/>
        </w:numPr>
        <w:spacing w:before="120" w:after="120" w:line="288" w:lineRule="auto"/>
        <w:ind w:left="0"/>
        <w:jc w:val="left"/>
      </w:pPr>
      <w:r>
        <w:rPr>
          <w:rFonts w:eastAsia="等线" w:ascii="Arial" w:cs="Arial" w:hAnsi="Arial"/>
          <w:sz w:val="22"/>
        </w:rPr>
        <w:t>PEER-REVIEW-ANALYZE数据集</w:t>
      </w:r>
    </w:p>
    <w:p>
      <w:pPr>
        <w:numPr>
          <w:numId w:val="30"/>
        </w:numPr>
        <w:spacing w:before="120" w:after="120" w:line="288" w:lineRule="auto"/>
        <w:ind w:left="453"/>
        <w:jc w:val="left"/>
      </w:pPr>
      <w:r>
        <w:rPr>
          <w:rFonts w:eastAsia="等线" w:ascii="Arial" w:cs="Arial" w:hAnsi="Arial"/>
          <w:sz w:val="22"/>
        </w:rPr>
        <w:t>内容：标注审稿意见针对的论文具体部分（如方法、结论），辅助识别态度主题。</w:t>
      </w:r>
    </w:p>
    <w:p>
      <w:pPr>
        <w:numPr>
          <w:numId w:val="31"/>
        </w:numPr>
        <w:spacing w:before="120" w:after="120" w:line="288" w:lineRule="auto"/>
        <w:ind w:left="453"/>
        <w:jc w:val="left"/>
      </w:pPr>
      <w:r>
        <w:rPr>
          <w:rFonts w:eastAsia="等线" w:ascii="Arial" w:cs="Arial" w:hAnsi="Arial"/>
          <w:sz w:val="22"/>
        </w:rPr>
        <w:t>访问：</w:t>
      </w:r>
      <w:hyperlink r:id="rId17">
        <w:r>
          <w:rPr>
            <w:rFonts w:eastAsia="等线" w:ascii="Arial" w:cs="Arial" w:hAnsi="Arial"/>
            <w:color w:val="3370ff"/>
            <w:sz w:val="22"/>
          </w:rPr>
          <w:t>PEER-REVIEW-ANALYZE数据</w:t>
        </w:r>
      </w:hyperlink>
    </w:p>
    <w:p>
      <w:pPr>
        <w:pStyle w:val="2"/>
        <w:spacing w:before="320" w:after="120" w:line="288" w:lineRule="auto"/>
        <w:ind w:left="0"/>
        <w:jc w:val="left"/>
        <w:outlineLvl w:val="1"/>
      </w:pPr>
      <w:bookmarkStart w:name="heading_3" w:id="3"/>
      <w:r>
        <w:rPr>
          <w:rFonts w:eastAsia="等线" w:ascii="Arial" w:cs="Arial" w:hAnsi="Arial"/>
          <w:b w:val="true"/>
          <w:sz w:val="32"/>
        </w:rPr>
        <w:t xml:space="preserve">1.1 </w:t>
      </w:r>
      <w:hyperlink r:id="rId18">
        <w:r>
          <w:rPr>
            <w:rFonts w:eastAsia="等线" w:ascii="Arial" w:cs="Arial" w:hAnsi="Arial"/>
            <w:b w:val="true"/>
            <w:color w:val="3370ff"/>
            <w:sz w:val="32"/>
          </w:rPr>
          <w:t>Exploring Jiu-Jitsu Argumentation for Writing Peer Review Rebuttals</w:t>
        </w:r>
      </w:hyperlink>
      <w:r>
        <w:rPr>
          <w:rFonts w:eastAsia="等线" w:ascii="Arial" w:cs="Arial" w:hAnsi="Arial"/>
          <w:b w:val="true"/>
          <w:sz w:val="32"/>
        </w:rPr>
        <w:t xml:space="preserve"> Accepted at EMNLP Main Conference 2023</w:t>
      </w:r>
      <w:bookmarkEnd w:id="3"/>
    </w:p>
    <w:p>
      <w:pPr>
        <w:pStyle w:val="3"/>
        <w:spacing w:before="300" w:after="120" w:line="288" w:lineRule="auto"/>
        <w:ind w:left="0"/>
        <w:jc w:val="left"/>
        <w:outlineLvl w:val="2"/>
      </w:pPr>
      <w:bookmarkStart w:name="heading_4" w:id="4"/>
      <w:r>
        <w:rPr>
          <w:rFonts w:eastAsia="等线" w:ascii="Arial" w:cs="Arial" w:hAnsi="Arial"/>
          <w:b w:val="true"/>
          <w:sz w:val="30"/>
        </w:rPr>
        <w:t>基础数据来源</w:t>
      </w:r>
      <w:bookmarkEnd w:id="4"/>
    </w:p>
    <w:p>
      <w:pPr>
        <w:numPr>
          <w:numId w:val="32"/>
        </w:numPr>
        <w:spacing w:before="120" w:after="120" w:line="288" w:lineRule="auto"/>
        <w:ind w:left="0"/>
        <w:jc w:val="left"/>
      </w:pPr>
      <w:r>
        <w:rPr>
          <w:rFonts w:eastAsia="等线" w:ascii="Arial" w:cs="Arial" w:hAnsi="Arial"/>
          <w:sz w:val="22"/>
        </w:rPr>
        <w:t>DISAPERE数据集（ICLR 2019-2020）：</w:t>
      </w:r>
    </w:p>
    <w:p>
      <w:pPr>
        <w:numPr>
          <w:numId w:val="33"/>
        </w:numPr>
        <w:spacing w:before="120" w:after="120" w:line="288" w:lineRule="auto"/>
        <w:ind w:left="453"/>
        <w:jc w:val="left"/>
      </w:pPr>
      <w:r>
        <w:rPr>
          <w:rFonts w:eastAsia="等线" w:ascii="Arial" w:cs="Arial" w:hAnsi="Arial"/>
          <w:sz w:val="22"/>
        </w:rPr>
        <w:t>包含9,946条审稿句子（review sentences）和11,103条反驳句子（rebuttal sentences）。</w:t>
      </w:r>
    </w:p>
    <w:p>
      <w:pPr>
        <w:numPr>
          <w:numId w:val="34"/>
        </w:numPr>
        <w:spacing w:before="120" w:after="120" w:line="288" w:lineRule="auto"/>
        <w:ind w:left="453"/>
        <w:jc w:val="left"/>
      </w:pPr>
      <w:r>
        <w:rPr>
          <w:rFonts w:eastAsia="等线" w:ascii="Arial" w:cs="Arial" w:hAnsi="Arial"/>
          <w:sz w:val="22"/>
        </w:rPr>
        <w:t>复用三层标注：</w:t>
      </w:r>
    </w:p>
    <w:p>
      <w:pPr>
        <w:numPr>
          <w:numId w:val="35"/>
        </w:numPr>
        <w:spacing w:before="120" w:after="120" w:line="288" w:lineRule="auto"/>
        <w:ind w:left="907"/>
        <w:jc w:val="left"/>
      </w:pPr>
      <w:r>
        <w:rPr>
          <w:rFonts w:eastAsia="等线" w:ascii="Arial" w:cs="Arial" w:hAnsi="Arial"/>
          <w:sz w:val="22"/>
        </w:rPr>
        <w:t>审稿方面（Review Aspect） → 作为态度根源（Attitude Root）（如Clarity、Substance等）。</w:t>
      </w:r>
    </w:p>
    <w:p>
      <w:pPr>
        <w:numPr>
          <w:numId w:val="36"/>
        </w:numPr>
        <w:spacing w:before="120" w:after="120" w:line="288" w:lineRule="auto"/>
        <w:ind w:left="907"/>
        <w:jc w:val="left"/>
      </w:pPr>
      <w:r>
        <w:rPr>
          <w:rFonts w:eastAsia="等线" w:ascii="Arial" w:cs="Arial" w:hAnsi="Arial"/>
          <w:sz w:val="22"/>
        </w:rPr>
        <w:t>审稿-反驳链接（Review-Rebuttal Links）→ 用于关联审稿与对应反驳。</w:t>
      </w:r>
    </w:p>
    <w:p>
      <w:pPr>
        <w:numPr>
          <w:numId w:val="37"/>
        </w:numPr>
        <w:spacing w:before="120" w:after="120" w:line="288" w:lineRule="auto"/>
        <w:ind w:left="907"/>
        <w:jc w:val="left"/>
      </w:pPr>
      <w:r>
        <w:rPr>
          <w:rFonts w:eastAsia="等线" w:ascii="Arial" w:cs="Arial" w:hAnsi="Arial"/>
          <w:sz w:val="22"/>
        </w:rPr>
        <w:t>反驳行为（Rebuttal Actions）（如Task Done、Reject Criticism等）。</w:t>
      </w:r>
    </w:p>
    <w:p>
      <w:pPr>
        <w:numPr>
          <w:numId w:val="38"/>
        </w:numPr>
        <w:spacing w:before="120" w:after="120" w:line="288" w:lineRule="auto"/>
        <w:ind w:left="0"/>
        <w:jc w:val="left"/>
      </w:pPr>
      <w:r>
        <w:rPr>
          <w:rFonts w:eastAsia="等线" w:ascii="Arial" w:cs="Arial" w:hAnsi="Arial"/>
          <w:sz w:val="22"/>
        </w:rPr>
        <w:t>Peer-Review-Analyze数据集（ICLR 2018）：</w:t>
      </w:r>
    </w:p>
    <w:p>
      <w:pPr>
        <w:numPr>
          <w:numId w:val="39"/>
        </w:numPr>
        <w:spacing w:before="120" w:after="120" w:line="288" w:lineRule="auto"/>
        <w:ind w:left="453"/>
        <w:jc w:val="left"/>
      </w:pPr>
      <w:r>
        <w:rPr>
          <w:rFonts w:eastAsia="等线" w:ascii="Arial" w:cs="Arial" w:hAnsi="Arial"/>
          <w:sz w:val="22"/>
        </w:rPr>
        <w:t>提供论文章节标签（Paper Sections） → 作为态度主题（Attitude Theme）（如Methodology、Experiments等）。</w:t>
      </w:r>
    </w:p>
    <w:p>
      <w:pPr>
        <w:pStyle w:val="3"/>
        <w:spacing w:before="300" w:after="120" w:line="288" w:lineRule="auto"/>
        <w:ind w:left="0"/>
        <w:jc w:val="left"/>
        <w:outlineLvl w:val="2"/>
      </w:pPr>
      <w:bookmarkStart w:name="heading_5" w:id="5"/>
      <w:r>
        <w:rPr>
          <w:rFonts w:eastAsia="等线" w:ascii="Arial" w:cs="Arial" w:hAnsi="Arial"/>
          <w:b w:val="true"/>
          <w:sz w:val="30"/>
        </w:rPr>
        <w:t>数据集统计与结构</w:t>
      </w:r>
      <w:bookmarkEnd w:id="5"/>
    </w:p>
    <w:p>
      <w:pPr>
        <w:spacing w:before="120" w:after="120" w:line="288" w:lineRule="auto"/>
        <w:ind w:left="453"/>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20" o:title=""/>
          </v:shape>
          <o:OLEObject DrawAspect="Icon" ObjectID="_1718471219" ProgID="Excel.Sheet.12" ShapeID="_x0000_i1025" Type="Embed" r:id="rId19"/>
        </w:object>
      </w:r>
    </w:p>
    <w:p>
      <w:pPr>
        <w:spacing w:after="120"/>
        <w:ind w:left="453"/>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bookmarkStart w:name="heading_6" w:id="6"/>
      <w:r>
        <w:rPr>
          <w:rFonts w:eastAsia="等线" w:ascii="Arial" w:cs="Arial" w:hAnsi="Arial"/>
          <w:b w:val="true"/>
          <w:sz w:val="30"/>
        </w:rPr>
        <w:t>总结</w:t>
      </w:r>
      <w:bookmarkEnd w:id="6"/>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3900"/>
            </w:tblGrid>
            <w:tr>
              <w:tc>
                <w:tcPr>
                  <w:tcW w:w="3900" w:type="dxa"/>
                  <w:shd w:color="auto" w:val="clear" w:fill="f0f4ff"/>
                  <w:tcMar>
                    <w:top w:type="dxa" w:w="60"/>
                    <w:left w:type="dxa" w:w="120"/>
                    <w:bottom w:type="dxa" w:w="30"/>
                    <w:right w:type="dxa" w:w="120"/>
                  </w:tcMar>
                </w:tcPr>
                <w:p>
                  <w:pPr>
                    <w:pStyle w:val="2"/>
                    <w:spacing w:before="320" w:after="120" w:line="288" w:lineRule="auto"/>
                    <w:ind w:left="0"/>
                    <w:jc w:val="left"/>
                    <w:outlineLvl w:val="1"/>
                  </w:pPr>
                  <w:bookmarkStart w:name="heading_7" w:id="7"/>
                  <w:r>
                    <w:rPr>
                      <w:rFonts w:eastAsia="等线" w:ascii="Arial" w:cs="Arial" w:hAnsi="Arial"/>
                      <w:b w:val="true"/>
                      <w:color w:val="245bdb"/>
                      <w:sz w:val="32"/>
                    </w:rPr>
                    <w:t>优点</w:t>
                  </w:r>
                  <w:bookmarkEnd w:id="7"/>
                </w:p>
              </w:tc>
            </w:tr>
          </w:tbl>
          <w:p/>
        </w:tc>
        <w:tc>
          <w:tcPr>
            <w:tcW w:w="414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3900"/>
            </w:tblGrid>
            <w:tr>
              <w:tc>
                <w:tcPr>
                  <w:tcW w:w="3900" w:type="dxa"/>
                  <w:shd w:color="auto" w:val="clear" w:fill="f0fbef"/>
                  <w:tcMar>
                    <w:top w:type="dxa" w:w="60"/>
                    <w:left w:type="dxa" w:w="120"/>
                    <w:bottom w:type="dxa" w:w="30"/>
                    <w:right w:type="dxa" w:w="120"/>
                  </w:tcMar>
                </w:tcPr>
                <w:p>
                  <w:pPr>
                    <w:pStyle w:val="2"/>
                    <w:spacing w:before="320" w:after="120" w:line="288" w:lineRule="auto"/>
                    <w:ind w:left="0"/>
                    <w:jc w:val="left"/>
                    <w:outlineLvl w:val="1"/>
                  </w:pPr>
                  <w:bookmarkStart w:name="heading_8" w:id="8"/>
                  <w:r>
                    <w:rPr>
                      <w:rFonts w:eastAsia="等线" w:ascii="Arial" w:cs="Arial" w:hAnsi="Arial"/>
                      <w:b w:val="true"/>
                      <w:color w:val="2ea121"/>
                      <w:sz w:val="32"/>
                    </w:rPr>
                    <w:t>不足</w:t>
                  </w:r>
                  <w:bookmarkEnd w:id="8"/>
                </w:p>
              </w:tc>
            </w:tr>
          </w:tbl>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numPr>
                <w:numId w:val="40"/>
              </w:numPr>
              <w:spacing w:before="120" w:after="120" w:line="288" w:lineRule="auto"/>
              <w:ind w:left="0"/>
              <w:jc w:val="left"/>
            </w:pPr>
            <w:r>
              <w:rPr>
                <w:rFonts w:eastAsia="等线" w:ascii="Arial" w:cs="Arial" w:hAnsi="Arial"/>
                <w:sz w:val="22"/>
              </w:rPr>
              <w:t>概念转化：</w:t>
              <w:br/>
            </w:r>
            <w:r>
              <w:rPr>
                <w:rFonts w:eastAsia="等线" w:ascii="Arial" w:cs="Arial" w:hAnsi="Arial"/>
                <w:sz w:val="22"/>
              </w:rPr>
              <w:t>将心理学中的"态度根源"映射到学术审稿场景，用审稿方面和论文章节分别代理态度根源和主题。</w:t>
            </w:r>
          </w:p>
          <w:p>
            <w:pPr>
              <w:numPr>
                <w:numId w:val="41"/>
              </w:numPr>
              <w:spacing w:before="120" w:after="120" w:line="288" w:lineRule="auto"/>
              <w:ind w:left="0"/>
              <w:jc w:val="left"/>
            </w:pPr>
            <w:r>
              <w:rPr>
                <w:rFonts w:eastAsia="等线" w:ascii="Arial" w:cs="Arial" w:hAnsi="Arial"/>
                <w:sz w:val="22"/>
              </w:rPr>
              <w:t>领域自适应：</w:t>
              <w:br/>
            </w:r>
            <w:r>
              <w:rPr>
                <w:rFonts w:eastAsia="等线" w:ascii="Arial" w:cs="Arial" w:hAnsi="Arial"/>
                <w:sz w:val="22"/>
              </w:rPr>
              <w:t>通过MLM任务在审稿数据上继续预训练语言模型（如</w:t>
            </w:r>
            <w:r>
              <w:rPr>
                <w:rFonts w:eastAsia="Consolas" w:ascii="Consolas" w:cs="Consolas" w:hAnsi="Consolas"/>
                <w:sz w:val="22"/>
                <w:shd w:fill="EFF0F1"/>
              </w:rPr>
              <w:t>SciBERT_ds_neg</w:t>
            </w:r>
            <w:r>
              <w:rPr>
                <w:rFonts w:eastAsia="等线" w:ascii="Arial" w:cs="Arial" w:hAnsi="Arial"/>
                <w:sz w:val="22"/>
              </w:rPr>
              <w:t>），提升主题分类效果。</w:t>
            </w:r>
          </w:p>
          <w:p>
            <w:pPr>
              <w:numPr>
                <w:numId w:val="42"/>
              </w:numPr>
              <w:spacing w:before="120" w:after="120" w:line="288" w:lineRule="auto"/>
              <w:ind w:left="0"/>
              <w:jc w:val="left"/>
            </w:pPr>
            <w:r>
              <w:rPr>
                <w:rFonts w:eastAsia="等线" w:ascii="Arial" w:cs="Arial" w:hAnsi="Arial"/>
                <w:sz w:val="22"/>
              </w:rPr>
              <w:t>混合筛选策略：</w:t>
              <w:br/>
            </w:r>
            <w:r>
              <w:rPr>
                <w:rFonts w:eastAsia="等线" w:ascii="Arial" w:cs="Arial" w:hAnsi="Arial"/>
                <w:sz w:val="22"/>
              </w:rPr>
              <w:t>结合自动分类器粗筛与人工偏好标注细筛，最终用图排序算法提取典型反驳。</w:t>
            </w:r>
          </w:p>
          <w:p>
            <w:pPr>
              <w:spacing w:before="120" w:after="120" w:line="288" w:lineRule="auto"/>
              <w:ind w:left="0"/>
              <w:jc w:val="left"/>
            </w:pPr>
          </w:p>
        </w:tc>
        <w:tc>
          <w:tcPr>
            <w:tcW w:w="4140" w:type="dxa"/>
            <w:tcMar>
              <w:top w:type="dxa" w:w="60"/>
              <w:left w:type="dxa" w:w="120"/>
              <w:bottom w:type="dxa" w:w="30"/>
              <w:right w:type="dxa" w:w="120"/>
            </w:tcMar>
          </w:tcPr>
          <w:p>
            <w:pPr>
              <w:numPr>
                <w:numId w:val="43"/>
              </w:numPr>
              <w:spacing w:before="120" w:after="120" w:line="288" w:lineRule="auto"/>
              <w:ind w:left="0"/>
              <w:jc w:val="left"/>
            </w:pPr>
            <w:r>
              <w:rPr>
                <w:rFonts w:eastAsia="等线" w:ascii="Arial" w:cs="Arial" w:hAnsi="Arial"/>
                <w:i w:val="true"/>
                <w:sz w:val="22"/>
              </w:rPr>
              <w:t>数据仅来自ICLR，未覆盖自然科学或人文学科</w:t>
            </w:r>
          </w:p>
          <w:p>
            <w:pPr>
              <w:numPr>
                <w:numId w:val="44"/>
              </w:numPr>
              <w:spacing w:before="120" w:after="120" w:line="288" w:lineRule="auto"/>
              <w:ind w:left="0"/>
              <w:jc w:val="left"/>
            </w:pPr>
            <w:r>
              <w:rPr>
                <w:rFonts w:eastAsia="等线" w:ascii="Arial" w:cs="Arial" w:hAnsi="Arial"/>
                <w:i w:val="true"/>
                <w:sz w:val="22"/>
              </w:rPr>
              <w:t>稀疏映射：并非所有审稿句都有对应典型反驳，原始数据有缺失</w:t>
            </w:r>
          </w:p>
          <w:p>
            <w:pPr>
              <w:numPr>
                <w:numId w:val="45"/>
              </w:numPr>
              <w:spacing w:before="120" w:after="120" w:line="288" w:lineRule="auto"/>
              <w:ind w:left="0"/>
              <w:jc w:val="left"/>
            </w:pPr>
            <w:r>
              <w:rPr>
                <w:rFonts w:eastAsia="等线" w:ascii="Arial" w:cs="Arial" w:hAnsi="Arial"/>
                <w:sz w:val="22"/>
              </w:rPr>
              <w:t>论文"Limitations"部分提到，典型反驳作为模板需人工细化，需要避免直接替代人类写作</w:t>
            </w:r>
          </w:p>
          <w:p>
            <w:pPr>
              <w:pStyle w:val="4"/>
              <w:spacing w:before="260" w:after="120" w:line="288" w:lineRule="auto"/>
              <w:ind w:left="0"/>
              <w:jc w:val="left"/>
              <w:outlineLvl w:val="3"/>
            </w:pPr>
            <w:bookmarkStart w:name="heading_9" w:id="9"/>
            <w:bookmarkEnd w:id="9"/>
          </w:p>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下面是一些有启发性的工作，似乎都是在反驳帖子</w:t>
      </w:r>
    </w:p>
    <w:p>
      <w:pPr>
        <w:pStyle w:val="2"/>
        <w:spacing w:before="320" w:after="120" w:line="288" w:lineRule="auto"/>
        <w:ind w:left="0"/>
        <w:jc w:val="left"/>
        <w:outlineLvl w:val="1"/>
      </w:pPr>
      <w:bookmarkStart w:name="heading_10" w:id="10"/>
      <w:r>
        <w:rPr>
          <w:rFonts w:eastAsia="等线" w:ascii="Arial" w:cs="Arial" w:hAnsi="Arial"/>
          <w:b w:val="true"/>
          <w:sz w:val="32"/>
        </w:rPr>
        <w:t xml:space="preserve">1.2 </w:t>
      </w:r>
      <w:hyperlink r:id="rId21">
        <w:r>
          <w:rPr>
            <w:rFonts w:eastAsia="等线" w:ascii="Arial" w:cs="Arial" w:hAnsi="Arial"/>
            <w:b w:val="true"/>
            <w:color w:val="3370ff"/>
            <w:sz w:val="32"/>
          </w:rPr>
          <w:t>CounterGeDi: A controllable approach to generate polite, detoxified and emotional counterspeech</w:t>
        </w:r>
      </w:hyperlink>
      <w:bookmarkEnd w:id="10"/>
    </w:p>
    <w:p>
      <w:pPr>
        <w:spacing w:before="120" w:after="120" w:line="288" w:lineRule="auto"/>
        <w:ind w:left="0"/>
        <w:jc w:val="left"/>
      </w:pPr>
      <w:r>
        <w:rPr>
          <w:rFonts w:eastAsia="等线" w:ascii="Arial" w:cs="Arial" w:hAnsi="Arial"/>
          <w:sz w:val="22"/>
        </w:rPr>
        <w:t>Accepted at IJCAI-ECAI 2022</w:t>
      </w:r>
    </w:p>
    <w:p>
      <w:pPr>
        <w:pStyle w:val="3"/>
        <w:spacing w:before="300" w:after="120" w:line="288" w:lineRule="auto"/>
        <w:ind w:left="0"/>
        <w:jc w:val="left"/>
        <w:outlineLvl w:val="2"/>
      </w:pPr>
      <w:bookmarkStart w:name="heading_11" w:id="11"/>
      <w:r>
        <w:rPr>
          <w:rFonts w:eastAsia="等线" w:ascii="Arial" w:cs="Arial" w:hAnsi="Arial"/>
          <w:b w:val="true"/>
          <w:sz w:val="30"/>
        </w:rPr>
        <w:t>仇恨言论-反言论原始数据集来源</w:t>
      </w:r>
      <w:bookmarkEnd w:id="11"/>
    </w:p>
    <w:p>
      <w:pPr>
        <w:pStyle w:val="4"/>
        <w:spacing w:before="260" w:after="120" w:line="288" w:lineRule="auto"/>
        <w:ind w:left="0"/>
        <w:jc w:val="left"/>
        <w:outlineLvl w:val="3"/>
      </w:pPr>
      <w:bookmarkStart w:name="heading_12" w:id="12"/>
      <w:r>
        <w:rPr>
          <w:rFonts w:eastAsia="等线" w:ascii="Arial" w:cs="Arial" w:hAnsi="Arial"/>
          <w:b w:val="true"/>
          <w:sz w:val="28"/>
        </w:rPr>
        <w:t>1. CONAN数据集</w:t>
      </w:r>
      <w:bookmarkEnd w:id="12"/>
    </w:p>
    <w:p>
      <w:pPr>
        <w:numPr>
          <w:numId w:val="46"/>
        </w:numPr>
        <w:spacing w:before="120" w:after="120" w:line="288" w:lineRule="auto"/>
        <w:ind w:left="0"/>
        <w:jc w:val="left"/>
      </w:pPr>
      <w:r>
        <w:rPr>
          <w:rFonts w:eastAsia="等线" w:ascii="Arial" w:cs="Arial" w:hAnsi="Arial"/>
          <w:sz w:val="22"/>
        </w:rPr>
        <w:t>来源：人工合成的仇恨言论 + 专家撰写的反言论</w:t>
      </w:r>
    </w:p>
    <w:p>
      <w:pPr>
        <w:numPr>
          <w:numId w:val="47"/>
        </w:numPr>
        <w:spacing w:before="120" w:after="120" w:line="288" w:lineRule="auto"/>
        <w:ind w:left="0"/>
        <w:jc w:val="left"/>
      </w:pPr>
      <w:r>
        <w:rPr>
          <w:rFonts w:eastAsia="等线" w:ascii="Arial" w:cs="Arial" w:hAnsi="Arial"/>
          <w:sz w:val="22"/>
        </w:rPr>
        <w:t>规模：408条仇恨实例 → 3,864条仇恨-反言论对</w:t>
      </w:r>
    </w:p>
    <w:p>
      <w:pPr>
        <w:numPr>
          <w:numId w:val="48"/>
        </w:numPr>
        <w:spacing w:before="120" w:after="120" w:line="288" w:lineRule="auto"/>
        <w:ind w:left="0"/>
        <w:jc w:val="left"/>
      </w:pPr>
      <w:r>
        <w:rPr>
          <w:rFonts w:eastAsia="等线" w:ascii="Arial" w:cs="Arial" w:hAnsi="Arial"/>
          <w:sz w:val="22"/>
        </w:rPr>
        <w:t>特点：针对伊斯兰恐惧症（Islamophobic speech），反言论由NGO专家编写</w:t>
      </w:r>
    </w:p>
    <w:p>
      <w:pPr>
        <w:pStyle w:val="4"/>
        <w:spacing w:before="260" w:after="120" w:line="288" w:lineRule="auto"/>
        <w:ind w:left="0"/>
        <w:jc w:val="left"/>
        <w:outlineLvl w:val="3"/>
      </w:pPr>
      <w:bookmarkStart w:name="heading_13" w:id="13"/>
      <w:r>
        <w:rPr>
          <w:rFonts w:eastAsia="等线" w:ascii="Arial" w:cs="Arial" w:hAnsi="Arial"/>
          <w:b w:val="true"/>
          <w:sz w:val="28"/>
        </w:rPr>
        <w:t>2. Reddit数据集</w:t>
      </w:r>
      <w:bookmarkEnd w:id="13"/>
    </w:p>
    <w:p>
      <w:pPr>
        <w:numPr>
          <w:numId w:val="49"/>
        </w:numPr>
        <w:spacing w:before="120" w:after="120" w:line="288" w:lineRule="auto"/>
        <w:ind w:left="0"/>
        <w:jc w:val="left"/>
      </w:pPr>
      <w:r>
        <w:rPr>
          <w:rFonts w:eastAsia="等线" w:ascii="Arial" w:cs="Arial" w:hAnsi="Arial"/>
          <w:sz w:val="22"/>
        </w:rPr>
        <w:t>来源：Reddit平台真实仇恨言论 + 众包（Amazon Mechanical Turk工人）撰写的反言论</w:t>
      </w:r>
    </w:p>
    <w:p>
      <w:pPr>
        <w:numPr>
          <w:numId w:val="50"/>
        </w:numPr>
        <w:spacing w:before="120" w:after="120" w:line="288" w:lineRule="auto"/>
        <w:ind w:left="0"/>
        <w:jc w:val="left"/>
      </w:pPr>
      <w:r>
        <w:rPr>
          <w:rFonts w:eastAsia="等线" w:ascii="Arial" w:cs="Arial" w:hAnsi="Arial"/>
          <w:sz w:val="22"/>
        </w:rPr>
        <w:t>规模：5,257条仇恨实例 → 14,223条仇恨-反言论对</w:t>
      </w:r>
    </w:p>
    <w:p>
      <w:pPr>
        <w:pStyle w:val="4"/>
        <w:spacing w:before="260" w:after="120" w:line="288" w:lineRule="auto"/>
        <w:ind w:left="0"/>
        <w:jc w:val="left"/>
        <w:outlineLvl w:val="3"/>
      </w:pPr>
      <w:bookmarkStart w:name="heading_14" w:id="14"/>
      <w:r>
        <w:rPr>
          <w:rFonts w:eastAsia="等线" w:ascii="Arial" w:cs="Arial" w:hAnsi="Arial"/>
          <w:b w:val="true"/>
          <w:sz w:val="28"/>
        </w:rPr>
        <w:t>3. Gab数据集</w:t>
      </w:r>
      <w:bookmarkEnd w:id="14"/>
    </w:p>
    <w:p>
      <w:pPr>
        <w:numPr>
          <w:numId w:val="51"/>
        </w:numPr>
        <w:spacing w:before="120" w:after="120" w:line="288" w:lineRule="auto"/>
        <w:ind w:left="0"/>
        <w:jc w:val="left"/>
      </w:pPr>
      <w:r>
        <w:rPr>
          <w:rFonts w:eastAsia="等线" w:ascii="Arial" w:cs="Arial" w:hAnsi="Arial"/>
          <w:sz w:val="22"/>
        </w:rPr>
        <w:t>来源：Gab平台真实仇恨言论 + 众包（AMT工人）撰写的反言论</w:t>
      </w:r>
    </w:p>
    <w:p>
      <w:pPr>
        <w:numPr>
          <w:numId w:val="52"/>
        </w:numPr>
        <w:spacing w:before="120" w:after="120" w:line="288" w:lineRule="auto"/>
        <w:ind w:left="0"/>
        <w:jc w:val="left"/>
      </w:pPr>
      <w:r>
        <w:rPr>
          <w:rFonts w:eastAsia="等线" w:ascii="Arial" w:cs="Arial" w:hAnsi="Arial"/>
          <w:sz w:val="22"/>
        </w:rPr>
        <w:t>规模：14,614条仇恨实例 → 41,580条仇恨-反言论对</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关键点：</w:t>
            </w:r>
          </w:p>
          <w:p>
            <w:pPr>
              <w:numPr>
                <w:numId w:val="53"/>
              </w:numPr>
              <w:spacing w:before="120" w:after="120" w:line="288" w:lineRule="auto"/>
              <w:ind w:left="0"/>
              <w:jc w:val="left"/>
            </w:pPr>
            <w:r>
              <w:rPr>
                <w:rFonts w:eastAsia="等线" w:ascii="Arial" w:cs="Arial" w:hAnsi="Arial"/>
                <w:color w:val="646a73"/>
                <w:sz w:val="22"/>
              </w:rPr>
              <w:t>Reddit/Gab数据来自公开学术数据集，非作者主动爬取。</w:t>
            </w:r>
          </w:p>
          <w:p>
            <w:pPr>
              <w:numPr>
                <w:numId w:val="54"/>
              </w:numPr>
              <w:spacing w:before="120" w:after="120" w:line="288" w:lineRule="auto"/>
              <w:ind w:left="0"/>
              <w:jc w:val="left"/>
            </w:pPr>
            <w:r>
              <w:rPr>
                <w:rFonts w:eastAsia="等线" w:ascii="Arial" w:cs="Arial" w:hAnsi="Arial"/>
                <w:color w:val="646a73"/>
                <w:sz w:val="22"/>
              </w:rPr>
              <w:t>数据配对方式：每条仇恨言论关联至少一条反言论，构成对话结构（</w:t>
            </w:r>
            <w:r>
              <w:rPr>
                <w:rFonts w:eastAsia="Consolas" w:ascii="Consolas" w:cs="Consolas" w:hAnsi="Consolas"/>
                <w:color w:val="646a73"/>
                <w:sz w:val="22"/>
                <w:shd w:fill="EFF0F1"/>
              </w:rPr>
              <w:t>hate speech + counterspeech pair</w:t>
            </w:r>
            <w:r>
              <w:rPr>
                <w:rFonts w:eastAsia="等线" w:ascii="Arial" w:cs="Arial" w:hAnsi="Arial"/>
                <w:color w:val="646a73"/>
                <w:sz w:val="22"/>
              </w:rPr>
              <w:t>）。</w:t>
            </w:r>
          </w:p>
        </w:tc>
      </w:tr>
    </w:tbl>
    <w:p>
      <w:pPr>
        <w:spacing w:before="120" w:after="120" w:line="288" w:lineRule="auto"/>
        <w:ind w:left="0"/>
        <w:jc w:val="left"/>
      </w:pPr>
      <w:r>
        <w:rPr>
          <w:rFonts w:eastAsia="等线" w:ascii="Arial" w:cs="Arial" w:hAnsi="Arial"/>
          <w:sz w:val="22"/>
        </w:rPr>
        <w:t>反言论策略多样性：</w:t>
        <w:br/>
      </w:r>
      <w:r>
        <w:rPr>
          <w:rFonts w:eastAsia="等线" w:ascii="Arial" w:cs="Arial" w:hAnsi="Arial"/>
          <w:sz w:val="22"/>
        </w:rPr>
        <w:t>每条反言论标注了反驳策略类型，例如：</w:t>
      </w:r>
    </w:p>
    <w:p>
      <w:pPr>
        <w:numPr>
          <w:numId w:val="55"/>
        </w:numPr>
        <w:spacing w:before="120" w:after="120" w:line="288" w:lineRule="auto"/>
        <w:ind w:left="453"/>
        <w:jc w:val="left"/>
      </w:pPr>
      <w:r>
        <w:rPr>
          <w:rFonts w:eastAsia="等线" w:ascii="Arial" w:cs="Arial" w:hAnsi="Arial"/>
          <w:sz w:val="22"/>
        </w:rPr>
        <w:t>事实澄清（Fact-based Refutation）</w:t>
      </w:r>
    </w:p>
    <w:p>
      <w:pPr>
        <w:numPr>
          <w:numId w:val="56"/>
        </w:numPr>
        <w:spacing w:before="120" w:after="120" w:line="288" w:lineRule="auto"/>
        <w:ind w:left="453"/>
        <w:jc w:val="left"/>
      </w:pPr>
      <w:r>
        <w:rPr>
          <w:rFonts w:eastAsia="等线" w:ascii="Arial" w:cs="Arial" w:hAnsi="Arial"/>
          <w:sz w:val="22"/>
        </w:rPr>
        <w:t>情感呼吁（Emotional Appeal）</w:t>
      </w:r>
    </w:p>
    <w:p>
      <w:pPr>
        <w:numPr>
          <w:numId w:val="57"/>
        </w:numPr>
        <w:spacing w:before="120" w:after="120" w:line="288" w:lineRule="auto"/>
        <w:ind w:left="453"/>
        <w:jc w:val="left"/>
      </w:pPr>
      <w:r>
        <w:rPr>
          <w:rFonts w:eastAsia="等线" w:ascii="Arial" w:cs="Arial" w:hAnsi="Arial"/>
          <w:sz w:val="22"/>
        </w:rPr>
        <w:t>道德质疑（Moral Questioning）</w:t>
      </w:r>
    </w:p>
    <w:p>
      <w:pPr>
        <w:numPr>
          <w:numId w:val="58"/>
        </w:numPr>
        <w:spacing w:before="120" w:after="120" w:line="288" w:lineRule="auto"/>
        <w:ind w:left="453"/>
        <w:jc w:val="left"/>
      </w:pPr>
      <w:r>
        <w:rPr>
          <w:rFonts w:eastAsia="等线" w:ascii="Arial" w:cs="Arial" w:hAnsi="Arial"/>
          <w:sz w:val="22"/>
        </w:rPr>
        <w:t>幽默化解（Humor Defusion）</w:t>
      </w:r>
    </w:p>
    <w:p>
      <w:pPr>
        <w:pStyle w:val="3"/>
        <w:spacing w:before="300" w:after="120" w:line="288" w:lineRule="auto"/>
        <w:ind w:left="0"/>
        <w:jc w:val="left"/>
        <w:outlineLvl w:val="2"/>
      </w:pPr>
      <w:bookmarkStart w:name="heading_15" w:id="15"/>
      <w:r>
        <w:rPr>
          <w:rFonts w:eastAsia="等线" w:ascii="Arial" w:cs="Arial" w:hAnsi="Arial"/>
          <w:b w:val="true"/>
          <w:sz w:val="30"/>
        </w:rPr>
        <w:t>属性数据集构建与分类</w:t>
      </w:r>
      <w:bookmarkEnd w:id="15"/>
    </w:p>
    <w:p>
      <w:pPr>
        <w:spacing w:before="120" w:after="120" w:line="288" w:lineRule="auto"/>
        <w:ind w:left="0"/>
        <w:jc w:val="left"/>
      </w:pPr>
      <w:r>
        <w:rPr>
          <w:rFonts w:eastAsia="等线" w:ascii="Arial" w:cs="Arial" w:hAnsi="Arial"/>
          <w:sz w:val="22"/>
        </w:rPr>
        <w:t>为控制反言论的礼貌性、去毒性和情感属性，作者使用三类公开标注数据集训练GeDi分类器：</w:t>
      </w:r>
    </w:p>
    <w:p>
      <w:pPr>
        <w:pStyle w:val="4"/>
        <w:spacing w:before="260" w:after="120" w:line="288" w:lineRule="auto"/>
        <w:ind w:left="0"/>
        <w:jc w:val="left"/>
        <w:outlineLvl w:val="3"/>
      </w:pPr>
      <w:bookmarkStart w:name="heading_16" w:id="16"/>
      <w:r>
        <w:rPr>
          <w:rFonts w:eastAsia="等线" w:ascii="Arial" w:cs="Arial" w:hAnsi="Arial"/>
          <w:b w:val="true"/>
          <w:sz w:val="28"/>
        </w:rPr>
        <w:t>1. 礼貌性</w:t>
      </w:r>
      <w:bookmarkEnd w:id="16"/>
    </w:p>
    <w:p>
      <w:pPr>
        <w:numPr>
          <w:numId w:val="59"/>
        </w:numPr>
        <w:spacing w:before="120" w:after="120" w:line="288" w:lineRule="auto"/>
        <w:ind w:left="0"/>
        <w:jc w:val="left"/>
      </w:pPr>
      <w:r>
        <w:rPr>
          <w:rFonts w:eastAsia="等线" w:ascii="Arial" w:cs="Arial" w:hAnsi="Arial"/>
          <w:sz w:val="22"/>
        </w:rPr>
        <w:t>数据来源：139万条社交媒体帖子</w:t>
      </w:r>
    </w:p>
    <w:p>
      <w:pPr>
        <w:numPr>
          <w:numId w:val="60"/>
        </w:numPr>
        <w:spacing w:before="120" w:after="120" w:line="288" w:lineRule="auto"/>
        <w:ind w:left="0"/>
        <w:jc w:val="left"/>
      </w:pPr>
      <w:r>
        <w:rPr>
          <w:rFonts w:eastAsia="等线" w:ascii="Arial" w:cs="Arial" w:hAnsi="Arial"/>
          <w:sz w:val="22"/>
        </w:rPr>
        <w:t>分类标注：</w:t>
      </w:r>
    </w:p>
    <w:p>
      <w:pPr>
        <w:numPr>
          <w:numId w:val="61"/>
        </w:numPr>
        <w:spacing w:before="120" w:after="120" w:line="288" w:lineRule="auto"/>
        <w:ind w:left="453"/>
        <w:jc w:val="left"/>
      </w:pPr>
      <w:r>
        <w:rPr>
          <w:rFonts w:eastAsia="等线" w:ascii="Arial" w:cs="Arial" w:hAnsi="Arial"/>
          <w:sz w:val="22"/>
        </w:rPr>
        <w:t>9级标签（P1-P9），P9为"礼貌"，其余为"非礼貌"</w:t>
      </w:r>
    </w:p>
    <w:p>
      <w:pPr>
        <w:numPr>
          <w:numId w:val="62"/>
        </w:numPr>
        <w:spacing w:before="120" w:after="120" w:line="288" w:lineRule="auto"/>
        <w:ind w:left="453"/>
        <w:jc w:val="left"/>
      </w:pPr>
      <w:r>
        <w:rPr>
          <w:rFonts w:eastAsia="等线" w:ascii="Arial" w:cs="Arial" w:hAnsi="Arial"/>
          <w:sz w:val="22"/>
        </w:rPr>
        <w:t>二值化处理：P9 vs. P1-P8</w:t>
      </w:r>
    </w:p>
    <w:p>
      <w:pPr>
        <w:pStyle w:val="4"/>
        <w:spacing w:before="260" w:after="120" w:line="288" w:lineRule="auto"/>
        <w:ind w:left="0"/>
        <w:jc w:val="left"/>
        <w:outlineLvl w:val="3"/>
      </w:pPr>
      <w:bookmarkStart w:name="heading_17" w:id="17"/>
      <w:r>
        <w:rPr>
          <w:rFonts w:eastAsia="等线" w:ascii="Arial" w:cs="Arial" w:hAnsi="Arial"/>
          <w:b w:val="true"/>
          <w:sz w:val="28"/>
        </w:rPr>
        <w:t>2. 去毒性</w:t>
      </w:r>
      <w:bookmarkEnd w:id="17"/>
    </w:p>
    <w:p>
      <w:pPr>
        <w:numPr>
          <w:numId w:val="63"/>
        </w:numPr>
        <w:spacing w:before="120" w:after="120" w:line="288" w:lineRule="auto"/>
        <w:ind w:left="0"/>
        <w:jc w:val="left"/>
      </w:pPr>
      <w:r>
        <w:rPr>
          <w:rFonts w:eastAsia="等线" w:ascii="Arial" w:cs="Arial" w:hAnsi="Arial"/>
          <w:sz w:val="22"/>
        </w:rPr>
        <w:t>数据来源：Kaggle毒性评论分类挑战数据集</w:t>
      </w:r>
    </w:p>
    <w:p>
      <w:pPr>
        <w:numPr>
          <w:numId w:val="64"/>
        </w:numPr>
        <w:spacing w:before="120" w:after="120" w:line="288" w:lineRule="auto"/>
        <w:ind w:left="0"/>
        <w:jc w:val="left"/>
      </w:pPr>
      <w:r>
        <w:rPr>
          <w:rFonts w:eastAsia="等线" w:ascii="Arial" w:cs="Arial" w:hAnsi="Arial"/>
          <w:sz w:val="22"/>
        </w:rPr>
        <w:t>分类标注：</w:t>
      </w:r>
    </w:p>
    <w:p>
      <w:pPr>
        <w:numPr>
          <w:numId w:val="65"/>
        </w:numPr>
        <w:spacing w:before="120" w:after="120" w:line="288" w:lineRule="auto"/>
        <w:ind w:left="453"/>
        <w:jc w:val="left"/>
      </w:pPr>
      <w:r>
        <w:rPr>
          <w:rFonts w:eastAsia="等线" w:ascii="Arial" w:cs="Arial" w:hAnsi="Arial"/>
          <w:sz w:val="22"/>
        </w:rPr>
        <w:t>二分类：</w:t>
      </w:r>
      <w:r>
        <w:rPr>
          <w:rFonts w:eastAsia="Consolas" w:ascii="Consolas" w:cs="Consolas" w:hAnsi="Consolas"/>
          <w:sz w:val="22"/>
          <w:shd w:fill="EFF0F1"/>
        </w:rPr>
        <w:t>toxic</w:t>
      </w:r>
      <w:r>
        <w:rPr>
          <w:rFonts w:eastAsia="等线" w:ascii="Arial" w:cs="Arial" w:hAnsi="Arial"/>
          <w:sz w:val="22"/>
        </w:rPr>
        <w:t xml:space="preserve">（有毒） vs. </w:t>
      </w:r>
      <w:r>
        <w:rPr>
          <w:rFonts w:eastAsia="Consolas" w:ascii="Consolas" w:cs="Consolas" w:hAnsi="Consolas"/>
          <w:sz w:val="22"/>
          <w:shd w:fill="EFF0F1"/>
        </w:rPr>
        <w:t>non-toxic</w:t>
      </w:r>
      <w:r>
        <w:rPr>
          <w:rFonts w:eastAsia="等线" w:ascii="Arial" w:cs="Arial" w:hAnsi="Arial"/>
          <w:sz w:val="22"/>
        </w:rPr>
        <w:t>（无毒）</w:t>
      </w:r>
    </w:p>
    <w:p>
      <w:pPr>
        <w:numPr>
          <w:numId w:val="66"/>
        </w:numPr>
        <w:spacing w:before="120" w:after="120" w:line="288" w:lineRule="auto"/>
        <w:ind w:left="453"/>
        <w:jc w:val="left"/>
      </w:pPr>
      <w:r>
        <w:rPr>
          <w:rFonts w:eastAsia="等线" w:ascii="Arial" w:cs="Arial" w:hAnsi="Arial"/>
          <w:sz w:val="22"/>
        </w:rPr>
        <w:t>训练集/验证集/测试集按90%-10%分层划分</w:t>
      </w:r>
    </w:p>
    <w:p>
      <w:pPr>
        <w:pStyle w:val="4"/>
        <w:spacing w:before="260" w:after="120" w:line="288" w:lineRule="auto"/>
        <w:ind w:left="0"/>
        <w:jc w:val="left"/>
        <w:outlineLvl w:val="3"/>
      </w:pPr>
      <w:bookmarkStart w:name="heading_18" w:id="18"/>
      <w:r>
        <w:rPr>
          <w:rFonts w:eastAsia="等线" w:ascii="Arial" w:cs="Arial" w:hAnsi="Arial"/>
          <w:b w:val="true"/>
          <w:sz w:val="28"/>
        </w:rPr>
        <w:t>3. 情感</w:t>
      </w:r>
      <w:bookmarkEnd w:id="18"/>
    </w:p>
    <w:p>
      <w:pPr>
        <w:numPr>
          <w:numId w:val="67"/>
        </w:numPr>
        <w:spacing w:before="120" w:after="120" w:line="288" w:lineRule="auto"/>
        <w:ind w:left="0"/>
        <w:jc w:val="left"/>
      </w:pPr>
      <w:r>
        <w:rPr>
          <w:rFonts w:eastAsia="等线" w:ascii="Arial" w:cs="Arial" w:hAnsi="Arial"/>
          <w:sz w:val="22"/>
        </w:rPr>
        <w:t>数据来源：416,809条多情感标注帖子</w:t>
      </w:r>
    </w:p>
    <w:p>
      <w:pPr>
        <w:numPr>
          <w:numId w:val="68"/>
        </w:numPr>
        <w:spacing w:before="120" w:after="120" w:line="288" w:lineRule="auto"/>
        <w:ind w:left="0"/>
        <w:jc w:val="left"/>
      </w:pPr>
      <w:r>
        <w:rPr>
          <w:rFonts w:eastAsia="等线" w:ascii="Arial" w:cs="Arial" w:hAnsi="Arial"/>
          <w:sz w:val="22"/>
        </w:rPr>
        <w:t>分类标注：</w:t>
      </w:r>
    </w:p>
    <w:p>
      <w:pPr>
        <w:numPr>
          <w:numId w:val="69"/>
        </w:numPr>
        <w:spacing w:before="120" w:after="120" w:line="288" w:lineRule="auto"/>
        <w:ind w:left="453"/>
        <w:jc w:val="left"/>
      </w:pPr>
      <w:r>
        <w:rPr>
          <w:rFonts w:eastAsia="等线" w:ascii="Arial" w:cs="Arial" w:hAnsi="Arial"/>
          <w:sz w:val="22"/>
        </w:rPr>
        <w:t>7种情感：悲伤（sadness）、喜悦（joy）、恐惧（fear）、愤怒（anger）、惊讶（surprise）、爱（love）</w:t>
      </w:r>
    </w:p>
    <w:p>
      <w:pPr>
        <w:numPr>
          <w:numId w:val="70"/>
        </w:numPr>
        <w:spacing w:before="120" w:after="120" w:line="288" w:lineRule="auto"/>
        <w:ind w:left="453"/>
        <w:jc w:val="left"/>
      </w:pPr>
      <w:r>
        <w:rPr>
          <w:rFonts w:eastAsia="等线" w:ascii="Arial" w:cs="Arial" w:hAnsi="Arial"/>
          <w:sz w:val="22"/>
        </w:rPr>
        <w:t>筛选：剔除低频标签（surprise, love &lt;10%），保留4类（sadness, joy, fear, anger）</w:t>
      </w:r>
    </w:p>
    <w:p>
      <w:pPr>
        <w:numPr>
          <w:numId w:val="71"/>
        </w:numPr>
        <w:spacing w:before="120" w:after="120" w:line="288" w:lineRule="auto"/>
        <w:ind w:left="453"/>
        <w:jc w:val="left"/>
      </w:pPr>
      <w:r>
        <w:rPr>
          <w:rFonts w:eastAsia="等线" w:ascii="Arial" w:cs="Arial" w:hAnsi="Arial"/>
          <w:sz w:val="22"/>
        </w:rPr>
        <w:t>训练方式：为每类情感训练独立GeDi模型，目标情感为正向标签，其余情感为负向标签</w:t>
      </w:r>
    </w:p>
    <w:p>
      <w:pPr>
        <w:pStyle w:val="2"/>
        <w:spacing w:before="320" w:after="120" w:line="288" w:lineRule="auto"/>
        <w:ind w:left="0"/>
        <w:jc w:val="left"/>
        <w:outlineLvl w:val="1"/>
      </w:pPr>
      <w:bookmarkStart w:name="heading_19" w:id="19"/>
      <w:r>
        <w:rPr>
          <w:rFonts w:eastAsia="等线" w:ascii="Arial" w:cs="Arial" w:hAnsi="Arial"/>
          <w:b w:val="true"/>
          <w:sz w:val="32"/>
        </w:rPr>
        <w:t xml:space="preserve">1.3 </w:t>
      </w:r>
      <w:hyperlink r:id="rId22">
        <w:r>
          <w:rPr>
            <w:rFonts w:eastAsia="等线" w:ascii="Arial" w:cs="Arial" w:hAnsi="Arial"/>
            <w:b w:val="true"/>
            <w:color w:val="3370ff"/>
            <w:sz w:val="32"/>
          </w:rPr>
          <w:t>Auditing Counterfire: Evaluating Advanced Counterargument Generation</w:t>
        </w:r>
      </w:hyperlink>
      <w:bookmarkEnd w:id="19"/>
    </w:p>
    <w:p>
      <w:pPr>
        <w:spacing w:before="120" w:after="120" w:line="288" w:lineRule="auto"/>
        <w:ind w:left="0"/>
        <w:jc w:val="left"/>
      </w:pPr>
      <w:r>
        <w:rPr>
          <w:rFonts w:eastAsia="等线" w:ascii="Arial" w:cs="Arial" w:hAnsi="Arial"/>
          <w:sz w:val="22"/>
        </w:rPr>
        <w:t>Accepted at AAAI ICWSM 2025</w:t>
      </w:r>
    </w:p>
    <w:p>
      <w:pPr>
        <w:numPr>
          <w:numId w:val="72"/>
        </w:numPr>
        <w:spacing w:before="120" w:after="120" w:line="288" w:lineRule="auto"/>
        <w:ind w:left="0"/>
        <w:jc w:val="left"/>
      </w:pPr>
      <w:r>
        <w:rPr>
          <w:rFonts w:eastAsia="等线" w:ascii="Arial" w:cs="Arial" w:hAnsi="Arial"/>
          <w:sz w:val="22"/>
        </w:rPr>
        <w:t>Candela数据集（Hua et al., 2019）：</w:t>
      </w:r>
    </w:p>
    <w:p>
      <w:pPr>
        <w:numPr>
          <w:numId w:val="73"/>
        </w:numPr>
        <w:spacing w:before="120" w:after="120" w:line="288" w:lineRule="auto"/>
        <w:ind w:left="453"/>
        <w:jc w:val="left"/>
      </w:pPr>
      <w:r>
        <w:rPr>
          <w:rFonts w:eastAsia="等线" w:ascii="Arial" w:cs="Arial" w:hAnsi="Arial"/>
          <w:sz w:val="22"/>
        </w:rPr>
        <w:t>包含 70,000条 英文帖子和对应的反驳论点（Counter-arguments），来源于Reddit的</w:t>
      </w:r>
      <w:r>
        <w:rPr>
          <w:rFonts w:eastAsia="Consolas" w:ascii="Consolas" w:cs="Consolas" w:hAnsi="Consolas"/>
          <w:sz w:val="22"/>
          <w:shd w:fill="EFF0F1"/>
        </w:rPr>
        <w:t>r/ChangeMyView</w:t>
      </w:r>
      <w:r>
        <w:rPr>
          <w:rFonts w:eastAsia="等线" w:ascii="Arial" w:cs="Arial" w:hAnsi="Arial"/>
          <w:sz w:val="22"/>
        </w:rPr>
        <w:t>社区。</w:t>
      </w:r>
    </w:p>
    <w:p>
      <w:pPr>
        <w:numPr>
          <w:numId w:val="74"/>
        </w:numPr>
        <w:spacing w:before="120" w:after="120" w:line="288" w:lineRule="auto"/>
        <w:ind w:left="453"/>
        <w:jc w:val="left"/>
      </w:pPr>
      <w:r>
        <w:rPr>
          <w:rFonts w:eastAsia="等线" w:ascii="Arial" w:cs="Arial" w:hAnsi="Arial"/>
          <w:sz w:val="22"/>
        </w:rPr>
        <w:t>每条数据包含：</w:t>
      </w:r>
    </w:p>
    <w:p>
      <w:pPr>
        <w:numPr>
          <w:numId w:val="75"/>
        </w:numPr>
        <w:spacing w:before="120" w:after="120" w:line="288" w:lineRule="auto"/>
        <w:ind w:left="907"/>
        <w:jc w:val="left"/>
      </w:pPr>
      <w:r>
        <w:rPr>
          <w:rFonts w:eastAsia="等线" w:ascii="Arial" w:cs="Arial" w:hAnsi="Arial"/>
          <w:sz w:val="22"/>
        </w:rPr>
        <w:t>原始帖子（Original Post）</w:t>
      </w:r>
    </w:p>
    <w:p>
      <w:pPr>
        <w:numPr>
          <w:numId w:val="76"/>
        </w:numPr>
        <w:spacing w:before="120" w:after="120" w:line="288" w:lineRule="auto"/>
        <w:ind w:left="907"/>
        <w:jc w:val="left"/>
      </w:pPr>
      <w:r>
        <w:rPr>
          <w:rFonts w:eastAsia="等线" w:ascii="Arial" w:cs="Arial" w:hAnsi="Arial"/>
          <w:sz w:val="22"/>
        </w:rPr>
        <w:t>人工撰写的反驳论点</w:t>
      </w:r>
    </w:p>
    <w:p>
      <w:pPr>
        <w:numPr>
          <w:numId w:val="77"/>
        </w:numPr>
        <w:spacing w:before="120" w:after="120" w:line="288" w:lineRule="auto"/>
        <w:ind w:left="907"/>
        <w:jc w:val="left"/>
      </w:pPr>
      <w:r>
        <w:rPr>
          <w:rFonts w:eastAsia="等线" w:ascii="Arial" w:cs="Arial" w:hAnsi="Arial"/>
          <w:sz w:val="22"/>
        </w:rPr>
        <w:t>检索到的证据：从包含1,200万篇文章的数据库中提取（来源包括Wikipedia、《华盛顿邮报》《纽约时报》、Reuters等），经过去重和排序。</w:t>
      </w:r>
    </w:p>
    <w:p>
      <w:pPr>
        <w:pStyle w:val="3"/>
        <w:spacing w:before="300" w:after="120" w:line="288" w:lineRule="auto"/>
        <w:ind w:left="0"/>
        <w:jc w:val="left"/>
        <w:outlineLvl w:val="2"/>
      </w:pPr>
      <w:bookmarkStart w:name="heading_20" w:id="20"/>
      <w:r>
        <w:rPr>
          <w:rFonts w:eastAsia="等线" w:ascii="Arial" w:cs="Arial" w:hAnsi="Arial"/>
          <w:b w:val="true"/>
          <w:sz w:val="30"/>
        </w:rPr>
        <w:t>构建Counterfire数据集</w:t>
      </w:r>
      <w:bookmarkEnd w:id="20"/>
    </w:p>
    <w:p>
      <w:pPr>
        <w:pStyle w:val="4"/>
        <w:spacing w:before="260" w:after="120" w:line="288" w:lineRule="auto"/>
        <w:ind w:left="0"/>
        <w:jc w:val="left"/>
        <w:outlineLvl w:val="3"/>
      </w:pPr>
      <w:bookmarkStart w:name="heading_21" w:id="21"/>
      <w:r>
        <w:rPr>
          <w:rFonts w:eastAsia="等线" w:ascii="Arial" w:cs="Arial" w:hAnsi="Arial"/>
          <w:b w:val="true"/>
          <w:sz w:val="28"/>
        </w:rPr>
        <w:t>(1) 输入样本选择</w:t>
      </w:r>
      <w:bookmarkEnd w:id="21"/>
    </w:p>
    <w:p>
      <w:pPr>
        <w:numPr>
          <w:numId w:val="78"/>
        </w:numPr>
        <w:spacing w:before="120" w:after="120" w:line="288" w:lineRule="auto"/>
        <w:ind w:left="0"/>
        <w:jc w:val="left"/>
      </w:pPr>
      <w:r>
        <w:rPr>
          <w:rFonts w:eastAsia="等线" w:ascii="Arial" w:cs="Arial" w:hAnsi="Arial"/>
          <w:sz w:val="22"/>
        </w:rPr>
        <w:t>从Candela数据集中随机抽取 2,000条 原始帖子及对应证据作为输入样本。</w:t>
      </w:r>
    </w:p>
    <w:p>
      <w:pPr>
        <w:pStyle w:val="4"/>
        <w:spacing w:before="260" w:after="120" w:line="288" w:lineRule="auto"/>
        <w:ind w:left="0"/>
        <w:jc w:val="left"/>
        <w:outlineLvl w:val="3"/>
      </w:pPr>
      <w:bookmarkStart w:name="heading_22" w:id="22"/>
      <w:r>
        <w:rPr>
          <w:rFonts w:eastAsia="等线" w:ascii="Arial" w:cs="Arial" w:hAnsi="Arial"/>
          <w:b w:val="true"/>
          <w:sz w:val="28"/>
        </w:rPr>
        <w:t>(2) 多模型、多风格生成</w:t>
      </w:r>
      <w:bookmarkEnd w:id="22"/>
    </w:p>
    <w:p>
      <w:pPr>
        <w:numPr>
          <w:numId w:val="79"/>
        </w:numPr>
        <w:spacing w:before="120" w:after="120" w:line="288" w:lineRule="auto"/>
        <w:ind w:left="0"/>
        <w:jc w:val="left"/>
      </w:pPr>
      <w:r>
        <w:rPr>
          <w:rFonts w:eastAsia="等线" w:ascii="Arial" w:cs="Arial" w:hAnsi="Arial"/>
          <w:sz w:val="22"/>
        </w:rPr>
        <w:t>模型选择：使用6种LLM生成反驳论点：</w:t>
      </w:r>
    </w:p>
    <w:p>
      <w:pPr>
        <w:numPr>
          <w:numId w:val="80"/>
        </w:numPr>
        <w:spacing w:before="120" w:after="120" w:line="288" w:lineRule="auto"/>
        <w:ind w:left="453"/>
        <w:jc w:val="left"/>
      </w:pPr>
      <w:r>
        <w:rPr>
          <w:rFonts w:eastAsia="Consolas" w:ascii="Consolas" w:cs="Consolas" w:hAnsi="Consolas"/>
          <w:sz w:val="22"/>
          <w:shd w:fill="EFF0F1"/>
        </w:rPr>
        <w:t>GPT-3.5 Turbo</w:t>
      </w:r>
      <w:r>
        <w:rPr>
          <w:rFonts w:eastAsia="等线" w:ascii="Arial" w:cs="Arial" w:hAnsi="Arial"/>
          <w:sz w:val="22"/>
        </w:rPr>
        <w:t>、</w:t>
      </w:r>
      <w:r>
        <w:rPr>
          <w:rFonts w:eastAsia="Consolas" w:ascii="Consolas" w:cs="Consolas" w:hAnsi="Consolas"/>
          <w:sz w:val="22"/>
          <w:shd w:fill="EFF0F1"/>
        </w:rPr>
        <w:t>Koala-13B</w:t>
      </w:r>
      <w:r>
        <w:rPr>
          <w:rFonts w:eastAsia="等线" w:ascii="Arial" w:cs="Arial" w:hAnsi="Arial"/>
          <w:sz w:val="22"/>
        </w:rPr>
        <w:t>、</w:t>
      </w:r>
      <w:r>
        <w:rPr>
          <w:rFonts w:eastAsia="Consolas" w:ascii="Consolas" w:cs="Consolas" w:hAnsi="Consolas"/>
          <w:sz w:val="22"/>
          <w:shd w:fill="EFF0F1"/>
        </w:rPr>
        <w:t>GPT-4o</w:t>
      </w:r>
      <w:r>
        <w:rPr>
          <w:rFonts w:eastAsia="等线" w:ascii="Arial" w:cs="Arial" w:hAnsi="Arial"/>
          <w:sz w:val="22"/>
        </w:rPr>
        <w:t>、</w:t>
      </w:r>
      <w:r>
        <w:rPr>
          <w:rFonts w:eastAsia="Consolas" w:ascii="Consolas" w:cs="Consolas" w:hAnsi="Consolas"/>
          <w:sz w:val="22"/>
          <w:shd w:fill="EFF0F1"/>
        </w:rPr>
        <w:t>LLaMA-3.1</w:t>
      </w:r>
      <w:r>
        <w:rPr>
          <w:rFonts w:eastAsia="等线" w:ascii="Arial" w:cs="Arial" w:hAnsi="Arial"/>
          <w:sz w:val="22"/>
        </w:rPr>
        <w:t>、</w:t>
      </w:r>
      <w:r>
        <w:rPr>
          <w:rFonts w:eastAsia="Consolas" w:ascii="Consolas" w:cs="Consolas" w:hAnsi="Consolas"/>
          <w:sz w:val="22"/>
          <w:shd w:fill="EFF0F1"/>
        </w:rPr>
        <w:t>PaLM-2</w:t>
      </w:r>
      <w:r>
        <w:rPr>
          <w:rFonts w:eastAsia="等线" w:ascii="Arial" w:cs="Arial" w:hAnsi="Arial"/>
          <w:sz w:val="22"/>
        </w:rPr>
        <w:t>、</w:t>
      </w:r>
      <w:r>
        <w:rPr>
          <w:rFonts w:eastAsia="Consolas" w:ascii="Consolas" w:cs="Consolas" w:hAnsi="Consolas"/>
          <w:sz w:val="22"/>
          <w:shd w:fill="EFF0F1"/>
        </w:rPr>
        <w:t>Claude Haiku</w:t>
      </w:r>
      <w:r>
        <w:rPr>
          <w:rFonts w:eastAsia="等线" w:ascii="Arial" w:cs="Arial" w:hAnsi="Arial"/>
          <w:sz w:val="22"/>
        </w:rPr>
        <w:t>。</w:t>
      </w:r>
    </w:p>
    <w:p>
      <w:pPr>
        <w:numPr>
          <w:numId w:val="81"/>
        </w:numPr>
        <w:spacing w:before="120" w:after="120" w:line="288" w:lineRule="auto"/>
        <w:ind w:left="0"/>
        <w:jc w:val="left"/>
      </w:pPr>
      <w:r>
        <w:rPr>
          <w:rFonts w:eastAsia="等线" w:ascii="Arial" w:cs="Arial" w:hAnsi="Arial"/>
          <w:sz w:val="22"/>
        </w:rPr>
        <w:t>风格控制：为每条输入生成三种风格的反驳论点：</w:t>
      </w:r>
    </w:p>
    <w:p>
      <w:pPr>
        <w:spacing w:before="120" w:after="120" w:line="288" w:lineRule="auto"/>
        <w:ind w:left="0"/>
      </w:pPr>
      <w:r>
        <w:object>
          <v:shape id="_x0000_i1026" style="width:414pt;height:197pt;mso-width-percent:0;mso-height-percent:0;mso-width-percent:0;mso-height-percent:0" type="#_x0000_t75" o:ole="">
            <v:imagedata r:id="rId24" o:title=""/>
          </v:shape>
          <o:OLEObject DrawAspect="Icon" ObjectID="_1718471220" ProgID="Excel.Sheet.12" ShapeID="_x0000_i1026" Type="Embed" r:id="rId23"/>
        </w:object>
      </w:r>
    </w:p>
    <w:p>
      <w:pPr>
        <w:spacing w:after="120"/>
        <w:ind w:left="0"/>
        <w:jc w:val="center"/>
      </w:pPr>
      <w:r>
        <w:rPr>
          <w:rFonts w:eastAsia="等线" w:ascii="Arial" w:cs="Arial" w:hAnsi="Arial"/>
          <w:b w:val="true"/>
          <w:sz w:val="22"/>
        </w:rPr>
        <w:t>点击图片可查看完整电子表格</w:t>
      </w:r>
    </w:p>
    <w:p>
      <w:pPr>
        <w:numPr>
          <w:numId w:val="82"/>
        </w:numPr>
        <w:spacing w:before="120" w:after="120" w:line="288" w:lineRule="auto"/>
        <w:ind w:left="0"/>
        <w:jc w:val="left"/>
      </w:pPr>
      <w:r>
        <w:rPr>
          <w:rFonts w:eastAsia="等线" w:ascii="Arial" w:cs="Arial" w:hAnsi="Arial"/>
          <w:sz w:val="22"/>
        </w:rPr>
        <w:t>生成规模：</w:t>
        <w:br/>
      </w:r>
      <w:r>
        <w:rPr>
          <w:rFonts w:eastAsia="Consolas" w:ascii="Consolas" w:cs="Consolas" w:hAnsi="Consolas"/>
          <w:sz w:val="22"/>
          <w:shd w:fill="EFF0F1"/>
        </w:rPr>
        <w:t>2,000输入 × 3风格 × 6模型 = 36,000条生成论点</w:t>
      </w:r>
      <w:r>
        <w:rPr>
          <w:rFonts w:eastAsia="等线" w:ascii="Arial" w:cs="Arial" w:hAnsi="Arial"/>
          <w:sz w:val="22"/>
        </w:rPr>
        <w:br/>
      </w:r>
      <w:r>
        <w:rPr>
          <w:rFonts w:eastAsia="等线" w:ascii="Arial" w:cs="Arial" w:hAnsi="Arial"/>
          <w:sz w:val="22"/>
        </w:rPr>
        <w:t>最终整合为 38,000条 的Counterfire数据集（含部分人工标注数据）。</w:t>
      </w:r>
    </w:p>
    <w:p>
      <w:pPr>
        <w:pStyle w:val="3"/>
        <w:spacing w:before="300" w:after="120" w:line="288" w:lineRule="auto"/>
        <w:ind w:left="0"/>
        <w:jc w:val="left"/>
        <w:outlineLvl w:val="2"/>
      </w:pPr>
      <w:bookmarkStart w:name="heading_23" w:id="23"/>
      <w:r>
        <w:rPr>
          <w:rFonts w:eastAsia="等线" w:ascii="Arial" w:cs="Arial" w:hAnsi="Arial"/>
          <w:b w:val="true"/>
          <w:sz w:val="30"/>
        </w:rPr>
        <w:t>数据集特点</w:t>
      </w:r>
      <w:bookmarkEnd w:id="23"/>
    </w:p>
    <w:p>
      <w:pPr>
        <w:numPr>
          <w:numId w:val="83"/>
        </w:numPr>
        <w:spacing w:before="120" w:after="120" w:line="288" w:lineRule="auto"/>
        <w:ind w:left="0"/>
        <w:jc w:val="left"/>
      </w:pPr>
      <w:r>
        <w:rPr>
          <w:rFonts w:eastAsia="等线" w:ascii="Arial" w:cs="Arial" w:hAnsi="Arial"/>
          <w:sz w:val="22"/>
        </w:rPr>
        <w:t xml:space="preserve">三元组结构：每个实例包含 </w:t>
      </w:r>
      <w:r>
        <w:rPr>
          <w:rFonts w:eastAsia="Consolas" w:ascii="Consolas" w:cs="Consolas" w:hAnsi="Consolas"/>
          <w:sz w:val="22"/>
          <w:shd w:fill="EFF0F1"/>
        </w:rPr>
        <w:t>[原始帖子, 证据, 生成的反驳论点]</w:t>
      </w:r>
    </w:p>
    <w:p>
      <w:pPr>
        <w:pStyle w:val="1"/>
        <w:spacing w:before="380" w:after="140" w:line="288" w:lineRule="auto"/>
        <w:ind w:left="0"/>
        <w:jc w:val="left"/>
        <w:outlineLvl w:val="0"/>
      </w:pPr>
      <w:bookmarkStart w:name="heading_24" w:id="24"/>
      <w:r>
        <w:rPr>
          <w:rFonts w:eastAsia="等线" w:ascii="Arial" w:cs="Arial" w:hAnsi="Arial"/>
          <w:b w:val="true"/>
          <w:sz w:val="36"/>
        </w:rPr>
        <w:t>三、其他</w:t>
      </w:r>
      <w:bookmarkEnd w:id="24"/>
    </w:p>
    <w:p>
      <w:pPr>
        <w:spacing w:before="120" w:after="120" w:line="288" w:lineRule="auto"/>
        <w:ind w:left="0"/>
        <w:jc w:val="left"/>
      </w:pPr>
      <w:hyperlink r:id="rId25">
        <w:r>
          <w:rPr>
            <w:rFonts w:eastAsia="等线" w:ascii="Arial" w:cs="Arial" w:hAnsi="Arial"/>
            <w:color w:val="3370ff"/>
            <w:sz w:val="22"/>
          </w:rPr>
          <w:t>从 OpenReview 获取顶会接收论文集并保存至本地数据库</w:t>
        </w:r>
      </w:hyperlink>
    </w:p>
    <w:p>
      <w:pPr>
        <w:spacing w:before="120" w:after="120" w:line="288" w:lineRule="auto"/>
        <w:ind w:left="0"/>
        <w:jc w:val="left"/>
      </w:pPr>
      <w:hyperlink r:id="rId26">
        <w:r>
          <w:rPr>
            <w:rFonts w:eastAsia="等线" w:ascii="Arial" w:cs="Arial" w:hAnsi="Arial"/>
            <w:color w:val="3370ff"/>
            <w:sz w:val="22"/>
          </w:rPr>
          <w:t xml:space="preserve"> 能不能用Chatgpt回复审稿人意见</w:t>
        </w:r>
      </w:hyperlink>
      <w:r>
        <w:rPr>
          <w:rFonts w:eastAsia="等线" w:ascii="Arial" w:cs="Arial" w:hAnsi="Arial"/>
          <w:sz w:val="22"/>
        </w:rPr>
        <w:t xml:space="preserve">  （有趣的回答）</w:t>
      </w:r>
    </w:p>
    <w:p>
      <w:pPr>
        <w:spacing w:before="120" w:after="120" w:line="288" w:lineRule="auto"/>
        <w:ind w:left="0"/>
        <w:jc w:val="left"/>
      </w:pPr>
      <w:hyperlink r:id="rId27">
        <w:r>
          <w:rPr>
            <w:rFonts w:eastAsia="等线" w:ascii="Arial" w:cs="Arial" w:hAnsi="Arial"/>
            <w:color w:val="3370ff"/>
            <w:sz w:val="22"/>
          </w:rPr>
          <w:t xml:space="preserve">  这个项目是一个用于从同行评审和反驳中提取论点对的自然语言处理工具</w:t>
        </w:r>
      </w:hyperlink>
    </w:p>
    <w:p>
      <w:pPr>
        <w:pStyle w:val="1"/>
        <w:spacing w:before="380" w:after="140" w:line="288" w:lineRule="auto"/>
        <w:ind w:left="0"/>
        <w:jc w:val="left"/>
        <w:outlineLvl w:val="0"/>
      </w:pPr>
      <w:bookmarkStart w:name="heading_25" w:id="25"/>
      <w:bookmarkEnd w:id="25"/>
    </w:p>
    <w:p>
      <w:pPr>
        <w:spacing w:before="120" w:after="120" w:line="288" w:lineRule="auto"/>
        <w:ind w:left="0"/>
        <w:jc w:val="left"/>
      </w:pPr>
    </w:p>
    <w:sectPr>
      <w:footerReference w:type="default" r:id="rId3"/>
      <w:headerReference w:type="default" r:id="rId2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157690">
    <w:lvl>
      <w:start w:val="1"/>
      <w:numFmt w:val="decimal"/>
      <w:suff w:val="tab"/>
      <w:lvlText w:val="%1."/>
      <w:rPr>
        <w:color w:val="3370ff"/>
      </w:rPr>
    </w:lvl>
  </w:abstractNum>
  <w:abstractNum w:abstractNumId="1157691">
    <w:lvl>
      <w:numFmt w:val="bullet"/>
      <w:suff w:val="tab"/>
      <w:lvlText w:val="￮"/>
      <w:rPr>
        <w:color w:val="3370ff"/>
      </w:rPr>
    </w:lvl>
  </w:abstractNum>
  <w:abstractNum w:abstractNumId="1157692">
    <w:lvl>
      <w:numFmt w:val="bullet"/>
      <w:suff w:val="tab"/>
      <w:lvlText w:val="￮"/>
      <w:rPr>
        <w:color w:val="3370ff"/>
      </w:rPr>
    </w:lvl>
  </w:abstractNum>
  <w:abstractNum w:abstractNumId="1157693">
    <w:lvl>
      <w:start w:val="2"/>
      <w:numFmt w:val="decimal"/>
      <w:suff w:val="tab"/>
      <w:lvlText w:val="%1."/>
      <w:rPr>
        <w:color w:val="3370ff"/>
      </w:rPr>
    </w:lvl>
  </w:abstractNum>
  <w:abstractNum w:abstractNumId="1157694">
    <w:lvl>
      <w:numFmt w:val="bullet"/>
      <w:suff w:val="tab"/>
      <w:lvlText w:val="￮"/>
      <w:rPr>
        <w:color w:val="3370ff"/>
      </w:rPr>
    </w:lvl>
  </w:abstractNum>
  <w:abstractNum w:abstractNumId="1157695">
    <w:lvl>
      <w:numFmt w:val="bullet"/>
      <w:suff w:val="tab"/>
      <w:lvlText w:val="￮"/>
      <w:rPr>
        <w:color w:val="3370ff"/>
      </w:rPr>
    </w:lvl>
  </w:abstractNum>
  <w:abstractNum w:abstractNumId="1157696">
    <w:lvl>
      <w:numFmt w:val="bullet"/>
      <w:suff w:val="tab"/>
      <w:lvlText w:val="￮"/>
      <w:rPr>
        <w:color w:val="3370ff"/>
      </w:rPr>
    </w:lvl>
  </w:abstractNum>
  <w:abstractNum w:abstractNumId="1157697">
    <w:lvl>
      <w:start w:val="3"/>
      <w:numFmt w:val="decimal"/>
      <w:suff w:val="tab"/>
      <w:lvlText w:val="%1."/>
      <w:rPr>
        <w:color w:val="3370ff"/>
      </w:rPr>
    </w:lvl>
  </w:abstractNum>
  <w:abstractNum w:abstractNumId="1157698">
    <w:lvl>
      <w:numFmt w:val="bullet"/>
      <w:suff w:val="tab"/>
      <w:lvlText w:val="￮"/>
      <w:rPr>
        <w:color w:val="3370ff"/>
      </w:rPr>
    </w:lvl>
  </w:abstractNum>
  <w:abstractNum w:abstractNumId="1157699">
    <w:lvl>
      <w:numFmt w:val="bullet"/>
      <w:suff w:val="tab"/>
      <w:lvlText w:val="￮"/>
      <w:rPr>
        <w:color w:val="3370ff"/>
      </w:rPr>
    </w:lvl>
  </w:abstractNum>
  <w:abstractNum w:abstractNumId="1157700">
    <w:lvl>
      <w:start w:val="1"/>
      <w:numFmt w:val="lowerLetter"/>
      <w:suff w:val="tab"/>
      <w:lvlText w:val="%1."/>
      <w:rPr>
        <w:color w:val="3370ff"/>
      </w:rPr>
    </w:lvl>
  </w:abstractNum>
  <w:abstractNum w:abstractNumId="1157701">
    <w:lvl>
      <w:start w:val="2"/>
      <w:numFmt w:val="lowerLetter"/>
      <w:suff w:val="tab"/>
      <w:lvlText w:val="%1."/>
      <w:rPr>
        <w:color w:val="3370ff"/>
      </w:rPr>
    </w:lvl>
  </w:abstractNum>
  <w:abstractNum w:abstractNumId="1157702">
    <w:lvl>
      <w:start w:val="3"/>
      <w:numFmt w:val="lowerLetter"/>
      <w:suff w:val="tab"/>
      <w:lvlText w:val="%1."/>
      <w:rPr>
        <w:color w:val="3370ff"/>
      </w:rPr>
    </w:lvl>
  </w:abstractNum>
  <w:abstractNum w:abstractNumId="1157703">
    <w:lvl>
      <w:start w:val="1"/>
      <w:numFmt w:val="lowerLetter"/>
      <w:suff w:val="tab"/>
      <w:lvlText w:val="%1."/>
      <w:rPr>
        <w:color w:val="3370ff"/>
      </w:rPr>
    </w:lvl>
  </w:abstractNum>
  <w:abstractNum w:abstractNumId="1157704">
    <w:lvl>
      <w:start w:val="2"/>
      <w:numFmt w:val="lowerLetter"/>
      <w:suff w:val="tab"/>
      <w:lvlText w:val="%1."/>
      <w:rPr>
        <w:color w:val="3370ff"/>
      </w:rPr>
    </w:lvl>
  </w:abstractNum>
  <w:abstractNum w:abstractNumId="1157705">
    <w:lvl>
      <w:start w:val="3"/>
      <w:numFmt w:val="lowerLetter"/>
      <w:suff w:val="tab"/>
      <w:lvlText w:val="%1."/>
      <w:rPr>
        <w:color w:val="3370ff"/>
      </w:rPr>
    </w:lvl>
  </w:abstractNum>
  <w:abstractNum w:abstractNumId="1157706">
    <w:lvl>
      <w:start w:val="4"/>
      <w:numFmt w:val="decimal"/>
      <w:suff w:val="tab"/>
      <w:lvlText w:val="%1."/>
      <w:rPr>
        <w:color w:val="3370ff"/>
      </w:rPr>
    </w:lvl>
  </w:abstractNum>
  <w:abstractNum w:abstractNumId="1157707">
    <w:lvl>
      <w:numFmt w:val="bullet"/>
      <w:suff w:val="tab"/>
      <w:lvlText w:val="￮"/>
      <w:rPr>
        <w:color w:val="3370ff"/>
      </w:rPr>
    </w:lvl>
  </w:abstractNum>
  <w:abstractNum w:abstractNumId="1157708">
    <w:lvl>
      <w:numFmt w:val="bullet"/>
      <w:suff w:val="tab"/>
      <w:lvlText w:val="￮"/>
      <w:rPr>
        <w:color w:val="3370ff"/>
      </w:rPr>
    </w:lvl>
  </w:abstractNum>
  <w:abstractNum w:abstractNumId="1157709">
    <w:lvl>
      <w:start w:val="5"/>
      <w:numFmt w:val="decimal"/>
      <w:suff w:val="tab"/>
      <w:lvlText w:val="%1."/>
      <w:rPr>
        <w:color w:val="3370ff"/>
      </w:rPr>
    </w:lvl>
  </w:abstractNum>
  <w:abstractNum w:abstractNumId="1157710">
    <w:lvl>
      <w:start w:val="1"/>
      <w:numFmt w:val="decimal"/>
      <w:suff w:val="tab"/>
      <w:lvlText w:val="%1."/>
      <w:rPr>
        <w:color w:val="3370ff"/>
      </w:rPr>
    </w:lvl>
  </w:abstractNum>
  <w:abstractNum w:abstractNumId="1157711">
    <w:lvl>
      <w:numFmt w:val="bullet"/>
      <w:suff w:val="tab"/>
      <w:lvlText w:val="￮"/>
      <w:rPr>
        <w:color w:val="3370ff"/>
      </w:rPr>
    </w:lvl>
  </w:abstractNum>
  <w:abstractNum w:abstractNumId="1157712">
    <w:lvl>
      <w:numFmt w:val="bullet"/>
      <w:suff w:val="tab"/>
      <w:lvlText w:val="￮"/>
      <w:rPr>
        <w:color w:val="3370ff"/>
      </w:rPr>
    </w:lvl>
  </w:abstractNum>
  <w:abstractNum w:abstractNumId="1157713">
    <w:lvl>
      <w:numFmt w:val="bullet"/>
      <w:suff w:val="tab"/>
      <w:lvlText w:val="￮"/>
      <w:rPr>
        <w:color w:val="3370ff"/>
      </w:rPr>
    </w:lvl>
  </w:abstractNum>
  <w:abstractNum w:abstractNumId="1157714">
    <w:lvl>
      <w:numFmt w:val="bullet"/>
      <w:suff w:val="tab"/>
      <w:lvlText w:val="￮"/>
      <w:rPr>
        <w:color w:val="3370ff"/>
      </w:rPr>
    </w:lvl>
  </w:abstractNum>
  <w:abstractNum w:abstractNumId="1157715">
    <w:lvl>
      <w:start w:val="2"/>
      <w:numFmt w:val="decimal"/>
      <w:suff w:val="tab"/>
      <w:lvlText w:val="%1."/>
      <w:rPr>
        <w:color w:val="3370ff"/>
      </w:rPr>
    </w:lvl>
  </w:abstractNum>
  <w:abstractNum w:abstractNumId="1157716">
    <w:lvl>
      <w:numFmt w:val="bullet"/>
      <w:suff w:val="tab"/>
      <w:lvlText w:val="￮"/>
      <w:rPr>
        <w:color w:val="3370ff"/>
      </w:rPr>
    </w:lvl>
  </w:abstractNum>
  <w:abstractNum w:abstractNumId="1157717">
    <w:lvl>
      <w:numFmt w:val="bullet"/>
      <w:suff w:val="tab"/>
      <w:lvlText w:val="￮"/>
      <w:rPr>
        <w:color w:val="3370ff"/>
      </w:rPr>
    </w:lvl>
  </w:abstractNum>
  <w:abstractNum w:abstractNumId="1157718">
    <w:lvl>
      <w:start w:val="3"/>
      <w:numFmt w:val="decimal"/>
      <w:suff w:val="tab"/>
      <w:lvlText w:val="%1."/>
      <w:rPr>
        <w:color w:val="3370ff"/>
      </w:rPr>
    </w:lvl>
  </w:abstractNum>
  <w:abstractNum w:abstractNumId="1157719">
    <w:lvl>
      <w:numFmt w:val="bullet"/>
      <w:suff w:val="tab"/>
      <w:lvlText w:val="￮"/>
      <w:rPr>
        <w:color w:val="3370ff"/>
      </w:rPr>
    </w:lvl>
  </w:abstractNum>
  <w:abstractNum w:abstractNumId="1157720">
    <w:lvl>
      <w:numFmt w:val="bullet"/>
      <w:suff w:val="tab"/>
      <w:lvlText w:val="￮"/>
      <w:rPr>
        <w:color w:val="3370ff"/>
      </w:rPr>
    </w:lvl>
  </w:abstractNum>
  <w:abstractNum w:abstractNumId="1157721">
    <w:lvl>
      <w:numFmt w:val="bullet"/>
      <w:suff w:val="tab"/>
      <w:lvlText w:val="•"/>
      <w:rPr>
        <w:color w:val="3370ff"/>
      </w:rPr>
    </w:lvl>
  </w:abstractNum>
  <w:abstractNum w:abstractNumId="1157722">
    <w:lvl>
      <w:numFmt w:val="bullet"/>
      <w:suff w:val="tab"/>
      <w:lvlText w:val="￮"/>
      <w:rPr>
        <w:color w:val="3370ff"/>
      </w:rPr>
    </w:lvl>
  </w:abstractNum>
  <w:abstractNum w:abstractNumId="1157723">
    <w:lvl>
      <w:numFmt w:val="bullet"/>
      <w:suff w:val="tab"/>
      <w:lvlText w:val="￮"/>
      <w:rPr>
        <w:color w:val="3370ff"/>
      </w:rPr>
    </w:lvl>
  </w:abstractNum>
  <w:abstractNum w:abstractNumId="1157724">
    <w:lvl>
      <w:numFmt w:val="bullet"/>
      <w:suff w:val="tab"/>
      <w:lvlText w:val="▪"/>
      <w:rPr>
        <w:color w:val="3370ff"/>
        <w:sz w:val="11"/>
      </w:rPr>
    </w:lvl>
  </w:abstractNum>
  <w:abstractNum w:abstractNumId="1157725">
    <w:lvl>
      <w:numFmt w:val="bullet"/>
      <w:suff w:val="tab"/>
      <w:lvlText w:val="▪"/>
      <w:rPr>
        <w:color w:val="3370ff"/>
        <w:sz w:val="11"/>
      </w:rPr>
    </w:lvl>
  </w:abstractNum>
  <w:abstractNum w:abstractNumId="1157726">
    <w:lvl>
      <w:numFmt w:val="bullet"/>
      <w:suff w:val="tab"/>
      <w:lvlText w:val="▪"/>
      <w:rPr>
        <w:color w:val="3370ff"/>
        <w:sz w:val="11"/>
      </w:rPr>
    </w:lvl>
  </w:abstractNum>
  <w:abstractNum w:abstractNumId="1157727">
    <w:lvl>
      <w:numFmt w:val="bullet"/>
      <w:suff w:val="tab"/>
      <w:lvlText w:val="•"/>
      <w:rPr>
        <w:color w:val="3370ff"/>
      </w:rPr>
    </w:lvl>
  </w:abstractNum>
  <w:abstractNum w:abstractNumId="1157728">
    <w:lvl>
      <w:numFmt w:val="bullet"/>
      <w:suff w:val="tab"/>
      <w:lvlText w:val="￮"/>
      <w:rPr>
        <w:color w:val="3370ff"/>
      </w:rPr>
    </w:lvl>
  </w:abstractNum>
  <w:abstractNum w:abstractNumId="1157729">
    <w:lvl>
      <w:start w:val="1"/>
      <w:numFmt w:val="decimal"/>
      <w:suff w:val="tab"/>
      <w:lvlText w:val="%1."/>
      <w:rPr>
        <w:color w:val="3370ff"/>
      </w:rPr>
    </w:lvl>
  </w:abstractNum>
  <w:abstractNum w:abstractNumId="1157730">
    <w:lvl>
      <w:start w:val="2"/>
      <w:numFmt w:val="decimal"/>
      <w:suff w:val="tab"/>
      <w:lvlText w:val="%1."/>
      <w:rPr>
        <w:color w:val="3370ff"/>
      </w:rPr>
    </w:lvl>
  </w:abstractNum>
  <w:abstractNum w:abstractNumId="1157731">
    <w:lvl>
      <w:start w:val="3"/>
      <w:numFmt w:val="decimal"/>
      <w:suff w:val="tab"/>
      <w:lvlText w:val="%1."/>
      <w:rPr>
        <w:color w:val="3370ff"/>
      </w:rPr>
    </w:lvl>
  </w:abstractNum>
  <w:abstractNum w:abstractNumId="1157732">
    <w:lvl>
      <w:numFmt w:val="bullet"/>
      <w:suff w:val="tab"/>
      <w:lvlText w:val="•"/>
      <w:rPr>
        <w:color w:val="3370ff"/>
      </w:rPr>
    </w:lvl>
  </w:abstractNum>
  <w:abstractNum w:abstractNumId="1157733">
    <w:lvl>
      <w:numFmt w:val="bullet"/>
      <w:suff w:val="tab"/>
      <w:lvlText w:val="•"/>
      <w:rPr>
        <w:color w:val="3370ff"/>
      </w:rPr>
    </w:lvl>
  </w:abstractNum>
  <w:abstractNum w:abstractNumId="1157734">
    <w:lvl>
      <w:numFmt w:val="bullet"/>
      <w:suff w:val="tab"/>
      <w:lvlText w:val="•"/>
      <w:rPr>
        <w:color w:val="3370ff"/>
      </w:rPr>
    </w:lvl>
  </w:abstractNum>
  <w:abstractNum w:abstractNumId="1157735">
    <w:lvl>
      <w:numFmt w:val="bullet"/>
      <w:suff w:val="tab"/>
      <w:lvlText w:val="•"/>
      <w:rPr>
        <w:color w:val="3370ff"/>
      </w:rPr>
    </w:lvl>
  </w:abstractNum>
  <w:abstractNum w:abstractNumId="1157736">
    <w:lvl>
      <w:numFmt w:val="bullet"/>
      <w:suff w:val="tab"/>
      <w:lvlText w:val="•"/>
      <w:rPr>
        <w:color w:val="3370ff"/>
      </w:rPr>
    </w:lvl>
  </w:abstractNum>
  <w:abstractNum w:abstractNumId="1157737">
    <w:lvl>
      <w:numFmt w:val="bullet"/>
      <w:suff w:val="tab"/>
      <w:lvlText w:val="•"/>
      <w:rPr>
        <w:color w:val="3370ff"/>
      </w:rPr>
    </w:lvl>
  </w:abstractNum>
  <w:abstractNum w:abstractNumId="1157738">
    <w:lvl>
      <w:numFmt w:val="bullet"/>
      <w:suff w:val="tab"/>
      <w:lvlText w:val="•"/>
      <w:rPr>
        <w:color w:val="3370ff"/>
      </w:rPr>
    </w:lvl>
  </w:abstractNum>
  <w:abstractNum w:abstractNumId="1157739">
    <w:lvl>
      <w:numFmt w:val="bullet"/>
      <w:suff w:val="tab"/>
      <w:lvlText w:val="•"/>
      <w:rPr>
        <w:color w:val="3370ff"/>
      </w:rPr>
    </w:lvl>
  </w:abstractNum>
  <w:abstractNum w:abstractNumId="1157740">
    <w:lvl>
      <w:numFmt w:val="bullet"/>
      <w:suff w:val="tab"/>
      <w:lvlText w:val="•"/>
      <w:rPr>
        <w:color w:val="3370ff"/>
      </w:rPr>
    </w:lvl>
  </w:abstractNum>
  <w:abstractNum w:abstractNumId="1157741">
    <w:lvl>
      <w:numFmt w:val="bullet"/>
      <w:suff w:val="tab"/>
      <w:lvlText w:val="•"/>
      <w:rPr>
        <w:color w:val="3370ff"/>
      </w:rPr>
    </w:lvl>
  </w:abstractNum>
  <w:abstractNum w:abstractNumId="1157742">
    <w:lvl>
      <w:numFmt w:val="bullet"/>
      <w:suff w:val="tab"/>
      <w:lvlText w:val="•"/>
      <w:rPr>
        <w:color w:val="3370ff"/>
      </w:rPr>
    </w:lvl>
  </w:abstractNum>
  <w:abstractNum w:abstractNumId="1157743">
    <w:lvl>
      <w:numFmt w:val="bullet"/>
      <w:suff w:val="tab"/>
      <w:lvlText w:val="•"/>
      <w:rPr>
        <w:color w:val="3370ff"/>
      </w:rPr>
    </w:lvl>
  </w:abstractNum>
  <w:abstractNum w:abstractNumId="1157744">
    <w:lvl>
      <w:numFmt w:val="bullet"/>
      <w:suff w:val="tab"/>
      <w:lvlText w:val="￮"/>
      <w:rPr>
        <w:color w:val="3370ff"/>
      </w:rPr>
    </w:lvl>
  </w:abstractNum>
  <w:abstractNum w:abstractNumId="1157745">
    <w:lvl>
      <w:numFmt w:val="bullet"/>
      <w:suff w:val="tab"/>
      <w:lvlText w:val="￮"/>
      <w:rPr>
        <w:color w:val="3370ff"/>
      </w:rPr>
    </w:lvl>
  </w:abstractNum>
  <w:abstractNum w:abstractNumId="1157746">
    <w:lvl>
      <w:numFmt w:val="bullet"/>
      <w:suff w:val="tab"/>
      <w:lvlText w:val="￮"/>
      <w:rPr>
        <w:color w:val="3370ff"/>
      </w:rPr>
    </w:lvl>
  </w:abstractNum>
  <w:abstractNum w:abstractNumId="1157747">
    <w:lvl>
      <w:numFmt w:val="bullet"/>
      <w:suff w:val="tab"/>
      <w:lvlText w:val="￮"/>
      <w:rPr>
        <w:color w:val="3370ff"/>
      </w:rPr>
    </w:lvl>
  </w:abstractNum>
  <w:abstractNum w:abstractNumId="1157748">
    <w:lvl>
      <w:numFmt w:val="bullet"/>
      <w:suff w:val="tab"/>
      <w:lvlText w:val="•"/>
      <w:rPr>
        <w:color w:val="3370ff"/>
      </w:rPr>
    </w:lvl>
  </w:abstractNum>
  <w:abstractNum w:abstractNumId="1157749">
    <w:lvl>
      <w:numFmt w:val="bullet"/>
      <w:suff w:val="tab"/>
      <w:lvlText w:val="•"/>
      <w:rPr>
        <w:color w:val="3370ff"/>
      </w:rPr>
    </w:lvl>
  </w:abstractNum>
  <w:abstractNum w:abstractNumId="1157750">
    <w:lvl>
      <w:numFmt w:val="bullet"/>
      <w:suff w:val="tab"/>
      <w:lvlText w:val="￮"/>
      <w:rPr>
        <w:color w:val="3370ff"/>
      </w:rPr>
    </w:lvl>
  </w:abstractNum>
  <w:abstractNum w:abstractNumId="1157751">
    <w:lvl>
      <w:numFmt w:val="bullet"/>
      <w:suff w:val="tab"/>
      <w:lvlText w:val="￮"/>
      <w:rPr>
        <w:color w:val="3370ff"/>
      </w:rPr>
    </w:lvl>
  </w:abstractNum>
  <w:abstractNum w:abstractNumId="1157752">
    <w:lvl>
      <w:numFmt w:val="bullet"/>
      <w:suff w:val="tab"/>
      <w:lvlText w:val="•"/>
      <w:rPr>
        <w:color w:val="3370ff"/>
      </w:rPr>
    </w:lvl>
  </w:abstractNum>
  <w:abstractNum w:abstractNumId="1157753">
    <w:lvl>
      <w:numFmt w:val="bullet"/>
      <w:suff w:val="tab"/>
      <w:lvlText w:val="•"/>
      <w:rPr>
        <w:color w:val="3370ff"/>
      </w:rPr>
    </w:lvl>
  </w:abstractNum>
  <w:abstractNum w:abstractNumId="1157754">
    <w:lvl>
      <w:numFmt w:val="bullet"/>
      <w:suff w:val="tab"/>
      <w:lvlText w:val="￮"/>
      <w:rPr>
        <w:color w:val="3370ff"/>
      </w:rPr>
    </w:lvl>
  </w:abstractNum>
  <w:abstractNum w:abstractNumId="1157755">
    <w:lvl>
      <w:numFmt w:val="bullet"/>
      <w:suff w:val="tab"/>
      <w:lvlText w:val="￮"/>
      <w:rPr>
        <w:color w:val="3370ff"/>
      </w:rPr>
    </w:lvl>
  </w:abstractNum>
  <w:abstractNum w:abstractNumId="1157756">
    <w:lvl>
      <w:numFmt w:val="bullet"/>
      <w:suff w:val="tab"/>
      <w:lvlText w:val="•"/>
      <w:rPr>
        <w:color w:val="3370ff"/>
      </w:rPr>
    </w:lvl>
  </w:abstractNum>
  <w:abstractNum w:abstractNumId="1157757">
    <w:lvl>
      <w:numFmt w:val="bullet"/>
      <w:suff w:val="tab"/>
      <w:lvlText w:val="•"/>
      <w:rPr>
        <w:color w:val="3370ff"/>
      </w:rPr>
    </w:lvl>
  </w:abstractNum>
  <w:abstractNum w:abstractNumId="1157758">
    <w:lvl>
      <w:numFmt w:val="bullet"/>
      <w:suff w:val="tab"/>
      <w:lvlText w:val="￮"/>
      <w:rPr>
        <w:color w:val="3370ff"/>
      </w:rPr>
    </w:lvl>
  </w:abstractNum>
  <w:abstractNum w:abstractNumId="1157759">
    <w:lvl>
      <w:numFmt w:val="bullet"/>
      <w:suff w:val="tab"/>
      <w:lvlText w:val="￮"/>
      <w:rPr>
        <w:color w:val="3370ff"/>
      </w:rPr>
    </w:lvl>
  </w:abstractNum>
  <w:abstractNum w:abstractNumId="1157760">
    <w:lvl>
      <w:numFmt w:val="bullet"/>
      <w:suff w:val="tab"/>
      <w:lvlText w:val="￮"/>
      <w:rPr>
        <w:color w:val="3370ff"/>
      </w:rPr>
    </w:lvl>
  </w:abstractNum>
  <w:abstractNum w:abstractNumId="1157761">
    <w:lvl>
      <w:numFmt w:val="bullet"/>
      <w:suff w:val="tab"/>
      <w:lvlText w:val="•"/>
      <w:rPr>
        <w:color w:val="3370ff"/>
      </w:rPr>
    </w:lvl>
  </w:abstractNum>
  <w:abstractNum w:abstractNumId="1157762">
    <w:lvl>
      <w:numFmt w:val="bullet"/>
      <w:suff w:val="tab"/>
      <w:lvlText w:val="￮"/>
      <w:rPr>
        <w:color w:val="3370ff"/>
      </w:rPr>
    </w:lvl>
  </w:abstractNum>
  <w:abstractNum w:abstractNumId="1157763">
    <w:lvl>
      <w:numFmt w:val="bullet"/>
      <w:suff w:val="tab"/>
      <w:lvlText w:val="￮"/>
      <w:rPr>
        <w:color w:val="3370ff"/>
      </w:rPr>
    </w:lvl>
  </w:abstractNum>
  <w:abstractNum w:abstractNumId="1157764">
    <w:lvl>
      <w:numFmt w:val="bullet"/>
      <w:suff w:val="tab"/>
      <w:lvlText w:val="▪"/>
      <w:rPr>
        <w:color w:val="3370ff"/>
        <w:sz w:val="11"/>
      </w:rPr>
    </w:lvl>
  </w:abstractNum>
  <w:abstractNum w:abstractNumId="1157765">
    <w:lvl>
      <w:numFmt w:val="bullet"/>
      <w:suff w:val="tab"/>
      <w:lvlText w:val="▪"/>
      <w:rPr>
        <w:color w:val="3370ff"/>
        <w:sz w:val="11"/>
      </w:rPr>
    </w:lvl>
  </w:abstractNum>
  <w:abstractNum w:abstractNumId="1157766">
    <w:lvl>
      <w:numFmt w:val="bullet"/>
      <w:suff w:val="tab"/>
      <w:lvlText w:val="▪"/>
      <w:rPr>
        <w:color w:val="3370ff"/>
        <w:sz w:val="11"/>
      </w:rPr>
    </w:lvl>
  </w:abstractNum>
  <w:abstractNum w:abstractNumId="1157767">
    <w:lvl>
      <w:numFmt w:val="bullet"/>
      <w:suff w:val="tab"/>
      <w:lvlText w:val="•"/>
      <w:rPr>
        <w:color w:val="3370ff"/>
      </w:rPr>
    </w:lvl>
  </w:abstractNum>
  <w:abstractNum w:abstractNumId="1157768">
    <w:lvl>
      <w:numFmt w:val="bullet"/>
      <w:suff w:val="tab"/>
      <w:lvlText w:val="•"/>
      <w:rPr>
        <w:color w:val="3370ff"/>
      </w:rPr>
    </w:lvl>
  </w:abstractNum>
  <w:abstractNum w:abstractNumId="1157769">
    <w:lvl>
      <w:numFmt w:val="bullet"/>
      <w:suff w:val="tab"/>
      <w:lvlText w:val="￮"/>
      <w:rPr>
        <w:color w:val="3370ff"/>
      </w:rPr>
    </w:lvl>
  </w:abstractNum>
  <w:abstractNum w:abstractNumId="1157770">
    <w:lvl>
      <w:numFmt w:val="bullet"/>
      <w:suff w:val="tab"/>
      <w:lvlText w:val="•"/>
      <w:rPr>
        <w:color w:val="3370ff"/>
      </w:rPr>
    </w:lvl>
  </w:abstractNum>
  <w:abstractNum w:abstractNumId="1157771">
    <w:lvl>
      <w:numFmt w:val="bullet"/>
      <w:suff w:val="tab"/>
      <w:lvlText w:val="•"/>
      <w:rPr>
        <w:color w:val="3370ff"/>
      </w:rPr>
    </w:lvl>
  </w:abstractNum>
  <w:abstractNum w:abstractNumId="1157772">
    <w:lvl>
      <w:numFmt w:val="bullet"/>
      <w:suff w:val="tab"/>
      <w:lvlText w:val="•"/>
      <w:rPr>
        <w:color w:val="3370ff"/>
      </w:rPr>
    </w:lvl>
  </w:abstractNum>
  <w:num w:numId="1">
    <w:abstractNumId w:val="1157690"/>
  </w:num>
  <w:num w:numId="2">
    <w:abstractNumId w:val="1157691"/>
  </w:num>
  <w:num w:numId="3">
    <w:abstractNumId w:val="1157692"/>
  </w:num>
  <w:num w:numId="4">
    <w:abstractNumId w:val="1157693"/>
  </w:num>
  <w:num w:numId="5">
    <w:abstractNumId w:val="1157694"/>
  </w:num>
  <w:num w:numId="6">
    <w:abstractNumId w:val="1157695"/>
  </w:num>
  <w:num w:numId="7">
    <w:abstractNumId w:val="1157696"/>
  </w:num>
  <w:num w:numId="8">
    <w:abstractNumId w:val="1157697"/>
  </w:num>
  <w:num w:numId="9">
    <w:abstractNumId w:val="1157698"/>
  </w:num>
  <w:num w:numId="10">
    <w:abstractNumId w:val="1157699"/>
  </w:num>
  <w:num w:numId="11">
    <w:abstractNumId w:val="1157700"/>
  </w:num>
  <w:num w:numId="12">
    <w:abstractNumId w:val="1157701"/>
  </w:num>
  <w:num w:numId="13">
    <w:abstractNumId w:val="1157702"/>
  </w:num>
  <w:num w:numId="14">
    <w:abstractNumId w:val="1157703"/>
  </w:num>
  <w:num w:numId="15">
    <w:abstractNumId w:val="1157704"/>
  </w:num>
  <w:num w:numId="16">
    <w:abstractNumId w:val="1157705"/>
  </w:num>
  <w:num w:numId="17">
    <w:abstractNumId w:val="1157706"/>
  </w:num>
  <w:num w:numId="18">
    <w:abstractNumId w:val="1157707"/>
  </w:num>
  <w:num w:numId="19">
    <w:abstractNumId w:val="1157708"/>
  </w:num>
  <w:num w:numId="20">
    <w:abstractNumId w:val="1157709"/>
  </w:num>
  <w:num w:numId="21">
    <w:abstractNumId w:val="1157710"/>
  </w:num>
  <w:num w:numId="22">
    <w:abstractNumId w:val="1157711"/>
  </w:num>
  <w:num w:numId="23">
    <w:abstractNumId w:val="1157712"/>
  </w:num>
  <w:num w:numId="24">
    <w:abstractNumId w:val="1157713"/>
  </w:num>
  <w:num w:numId="25">
    <w:abstractNumId w:val="1157714"/>
  </w:num>
  <w:num w:numId="26">
    <w:abstractNumId w:val="1157715"/>
  </w:num>
  <w:num w:numId="27">
    <w:abstractNumId w:val="1157716"/>
  </w:num>
  <w:num w:numId="28">
    <w:abstractNumId w:val="1157717"/>
  </w:num>
  <w:num w:numId="29">
    <w:abstractNumId w:val="1157718"/>
  </w:num>
  <w:num w:numId="30">
    <w:abstractNumId w:val="1157719"/>
  </w:num>
  <w:num w:numId="31">
    <w:abstractNumId w:val="1157720"/>
  </w:num>
  <w:num w:numId="32">
    <w:abstractNumId w:val="1157721"/>
  </w:num>
  <w:num w:numId="33">
    <w:abstractNumId w:val="1157722"/>
  </w:num>
  <w:num w:numId="34">
    <w:abstractNumId w:val="1157723"/>
  </w:num>
  <w:num w:numId="35">
    <w:abstractNumId w:val="1157724"/>
  </w:num>
  <w:num w:numId="36">
    <w:abstractNumId w:val="1157725"/>
  </w:num>
  <w:num w:numId="37">
    <w:abstractNumId w:val="1157726"/>
  </w:num>
  <w:num w:numId="38">
    <w:abstractNumId w:val="1157727"/>
  </w:num>
  <w:num w:numId="39">
    <w:abstractNumId w:val="1157728"/>
  </w:num>
  <w:num w:numId="40">
    <w:abstractNumId w:val="1157729"/>
  </w:num>
  <w:num w:numId="41">
    <w:abstractNumId w:val="1157730"/>
  </w:num>
  <w:num w:numId="42">
    <w:abstractNumId w:val="1157731"/>
  </w:num>
  <w:num w:numId="43">
    <w:abstractNumId w:val="1157732"/>
  </w:num>
  <w:num w:numId="44">
    <w:abstractNumId w:val="1157733"/>
  </w:num>
  <w:num w:numId="45">
    <w:abstractNumId w:val="1157734"/>
  </w:num>
  <w:num w:numId="46">
    <w:abstractNumId w:val="1157735"/>
  </w:num>
  <w:num w:numId="47">
    <w:abstractNumId w:val="1157736"/>
  </w:num>
  <w:num w:numId="48">
    <w:abstractNumId w:val="1157737"/>
  </w:num>
  <w:num w:numId="49">
    <w:abstractNumId w:val="1157738"/>
  </w:num>
  <w:num w:numId="50">
    <w:abstractNumId w:val="1157739"/>
  </w:num>
  <w:num w:numId="51">
    <w:abstractNumId w:val="1157740"/>
  </w:num>
  <w:num w:numId="52">
    <w:abstractNumId w:val="1157741"/>
  </w:num>
  <w:num w:numId="53">
    <w:abstractNumId w:val="1157742"/>
  </w:num>
  <w:num w:numId="54">
    <w:abstractNumId w:val="1157743"/>
  </w:num>
  <w:num w:numId="55">
    <w:abstractNumId w:val="1157744"/>
  </w:num>
  <w:num w:numId="56">
    <w:abstractNumId w:val="1157745"/>
  </w:num>
  <w:num w:numId="57">
    <w:abstractNumId w:val="1157746"/>
  </w:num>
  <w:num w:numId="58">
    <w:abstractNumId w:val="1157747"/>
  </w:num>
  <w:num w:numId="59">
    <w:abstractNumId w:val="1157748"/>
  </w:num>
  <w:num w:numId="60">
    <w:abstractNumId w:val="1157749"/>
  </w:num>
  <w:num w:numId="61">
    <w:abstractNumId w:val="1157750"/>
  </w:num>
  <w:num w:numId="62">
    <w:abstractNumId w:val="1157751"/>
  </w:num>
  <w:num w:numId="63">
    <w:abstractNumId w:val="1157752"/>
  </w:num>
  <w:num w:numId="64">
    <w:abstractNumId w:val="1157753"/>
  </w:num>
  <w:num w:numId="65">
    <w:abstractNumId w:val="1157754"/>
  </w:num>
  <w:num w:numId="66">
    <w:abstractNumId w:val="1157755"/>
  </w:num>
  <w:num w:numId="67">
    <w:abstractNumId w:val="1157756"/>
  </w:num>
  <w:num w:numId="68">
    <w:abstractNumId w:val="1157757"/>
  </w:num>
  <w:num w:numId="69">
    <w:abstractNumId w:val="1157758"/>
  </w:num>
  <w:num w:numId="70">
    <w:abstractNumId w:val="1157759"/>
  </w:num>
  <w:num w:numId="71">
    <w:abstractNumId w:val="1157760"/>
  </w:num>
  <w:num w:numId="72">
    <w:abstractNumId w:val="1157761"/>
  </w:num>
  <w:num w:numId="73">
    <w:abstractNumId w:val="1157762"/>
  </w:num>
  <w:num w:numId="74">
    <w:abstractNumId w:val="1157763"/>
  </w:num>
  <w:num w:numId="75">
    <w:abstractNumId w:val="1157764"/>
  </w:num>
  <w:num w:numId="76">
    <w:abstractNumId w:val="1157765"/>
  </w:num>
  <w:num w:numId="77">
    <w:abstractNumId w:val="1157766"/>
  </w:num>
  <w:num w:numId="78">
    <w:abstractNumId w:val="1157767"/>
  </w:num>
  <w:num w:numId="79">
    <w:abstractNumId w:val="1157768"/>
  </w:num>
  <w:num w:numId="80">
    <w:abstractNumId w:val="1157769"/>
  </w:num>
  <w:num w:numId="81">
    <w:abstractNumId w:val="1157770"/>
  </w:num>
  <w:num w:numId="82">
    <w:abstractNumId w:val="1157771"/>
  </w:num>
  <w:num w:numId="83">
    <w:abstractNumId w:val="115777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incites.clarivate.com/" TargetMode="External" Type="http://schemas.openxmlformats.org/officeDocument/2006/relationships/hyperlink"/><Relationship Id="rId11" Target="https://webofscience.help.clarivate.com/zh-cn/Content/full-record.htm" TargetMode="External" Type="http://schemas.openxmlformats.org/officeDocument/2006/relationships/hyperlink"/><Relationship Id="rId12" Target="https://pubs.rsc.org/" TargetMode="External" Type="http://schemas.openxmlformats.org/officeDocument/2006/relationships/hyperlink"/><Relationship Id="rId13" Target="media/image3.png" Type="http://schemas.openxmlformats.org/officeDocument/2006/relationships/image"/><Relationship Id="rId14" Target="media/image4.png" Type="http://schemas.openxmlformats.org/officeDocument/2006/relationships/image"/><Relationship Id="rId15" Target="https://arxiv.org/pdf/2311.03998.pdf" TargetMode="External" Type="http://schemas.openxmlformats.org/officeDocument/2006/relationships/hyperlink"/><Relationship Id="rId16" Target="https://github.com/tanfiona/DISAPERE" TargetMode="External" Type="http://schemas.openxmlformats.org/officeDocument/2006/relationships/hyperlink"/><Relationship Id="rId17" Target="https://github.com/allenai/Peer-Review-Analyze" TargetMode="External" Type="http://schemas.openxmlformats.org/officeDocument/2006/relationships/hyperlink"/><Relationship Id="rId18" Target="https://arxiv.org/abs/2311.03998" TargetMode="External" Type="http://schemas.openxmlformats.org/officeDocument/2006/relationships/hyperlink"/><Relationship Id="rId19" Target="embeddings/Microsoft_Excel_Worksheet1.xlsx" Type="http://schemas.openxmlformats.org/officeDocument/2006/relationships/package"/><Relationship Id="rId2" Target="styles.xml" Type="http://schemas.openxmlformats.org/officeDocument/2006/relationships/styles"/><Relationship Id="rId20" Target="media/image5.png" Type="http://schemas.openxmlformats.org/officeDocument/2006/relationships/image"/><Relationship Id="rId21" Target="https://arxiv.org/abs/2205.04304" TargetMode="External" Type="http://schemas.openxmlformats.org/officeDocument/2006/relationships/hyperlink"/><Relationship Id="rId22" Target="https://arxiv.org/abs/2402.08498" TargetMode="External" Type="http://schemas.openxmlformats.org/officeDocument/2006/relationships/hyperlink"/><Relationship Id="rId23" Target="embeddings/Microsoft_Excel_Worksheet2.xlsx" Type="http://schemas.openxmlformats.org/officeDocument/2006/relationships/package"/><Relationship Id="rId24" Target="media/image6.png" Type="http://schemas.openxmlformats.org/officeDocument/2006/relationships/image"/><Relationship Id="rId25" Target="https://zhuanlan.zhihu.com/p/628467095" TargetMode="External" Type="http://schemas.openxmlformats.org/officeDocument/2006/relationships/hyperlink"/><Relationship Id="rId26" Target="https://www.zhihu.com/question/582718387?write" TargetMode="External" Type="http://schemas.openxmlformats.org/officeDocument/2006/relationships/hyperlink"/><Relationship Id="rId27" Target="https://github.com/LiyingCheng95/ArgumentPairExtraction" TargetMode="External" Type="http://schemas.openxmlformats.org/officeDocument/2006/relationships/hyperlink"/><Relationship Id="rId28"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https://openreview.net/" TargetMode="External" Type="http://schemas.openxmlformats.org/officeDocument/2006/relationships/hyperlink"/><Relationship Id="rId6" Target="https://pubpeer.com/" TargetMode="External" Type="http://schemas.openxmlformats.org/officeDocument/2006/relationships/hyperlink"/><Relationship Id="rId7" Target="https://www.webofscience.com/" TargetMode="External" Type="http://schemas.openxmlformats.org/officeDocument/2006/relationships/hyperlink"/><Relationship Id="rId8" Target="media/image1.png" Type="http://schemas.openxmlformats.org/officeDocument/2006/relationships/image"/><Relationship Id="rId9" Target="media/image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2025-07-04T14:39:16Z</dcterms:created>
  <dc:creator>Apache POI</dc:creator>
</cp:coreProperties>
</file>