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v="urn:schemas-microsoft-com:vml" xmlns:o="urn:schemas-microsoft-com:office:office">
  <w:body>
    <w:p>
      <w:pPr>
        <w:spacing w:before="480" w:after="480" w:line="288" w:lineRule="auto"/>
        <w:ind w:left="0"/>
      </w:pPr>
      <w:r>
        <w:rPr>
          <w:rFonts w:eastAsia="等线" w:ascii="Arial" w:cs="Arial" w:hAnsi="Arial"/>
          <w:b w:val="true"/>
          <w:sz w:val="52"/>
        </w:rPr>
        <w:t>ai rebuttal</w:t>
      </w:r>
    </w:p>
    <w:p>
      <w:pPr>
        <w:pStyle w:val="2"/>
        <w:spacing w:before="320" w:after="120" w:line="288" w:lineRule="auto"/>
        <w:ind w:left="0"/>
        <w:jc w:val="left"/>
        <w:outlineLvl w:val="1"/>
      </w:pPr>
      <w:bookmarkStart w:name="heading_0" w:id="0"/>
      <w:r>
        <w:rPr>
          <w:rFonts w:eastAsia="等线" w:ascii="Arial" w:cs="Arial" w:hAnsi="Arial"/>
          <w:b w:val="true"/>
          <w:sz w:val="32"/>
        </w:rPr>
        <w:t xml:space="preserve">1.1 </w:t>
      </w:r>
      <w:hyperlink r:id="rId4">
        <w:r>
          <w:rPr>
            <w:rFonts w:eastAsia="等线" w:ascii="Arial" w:cs="Arial" w:hAnsi="Arial"/>
            <w:b w:val="true"/>
            <w:color w:val="3370ff"/>
            <w:sz w:val="32"/>
          </w:rPr>
          <w:t>Exploring Jiu-Jitsu Argumentation for Writing Peer Review Rebuttals</w:t>
        </w:r>
      </w:hyperlink>
      <w:r>
        <w:rPr>
          <w:rFonts w:eastAsia="等线" w:ascii="Arial" w:cs="Arial" w:hAnsi="Arial"/>
          <w:b w:val="true"/>
          <w:sz w:val="32"/>
        </w:rPr>
        <w:t xml:space="preserve"> Accepted at EMNLP Main Conference 2023</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基础数据来源</w:t>
      </w:r>
      <w:bookmarkEnd w:id="1"/>
    </w:p>
    <w:p>
      <w:pPr>
        <w:numPr>
          <w:numId w:val="1"/>
        </w:numPr>
        <w:spacing w:before="120" w:after="120" w:line="288" w:lineRule="auto"/>
        <w:ind w:left="0"/>
        <w:jc w:val="left"/>
      </w:pPr>
      <w:r>
        <w:rPr>
          <w:rFonts w:eastAsia="等线" w:ascii="Arial" w:cs="Arial" w:hAnsi="Arial"/>
          <w:sz w:val="22"/>
        </w:rPr>
        <w:t>DISAPERE数据集（ICLR 2019-2020）：</w:t>
      </w:r>
    </w:p>
    <w:p>
      <w:pPr>
        <w:numPr>
          <w:numId w:val="2"/>
        </w:numPr>
        <w:spacing w:before="120" w:after="120" w:line="288" w:lineRule="auto"/>
        <w:ind w:left="453"/>
        <w:jc w:val="left"/>
      </w:pPr>
      <w:r>
        <w:rPr>
          <w:rFonts w:eastAsia="等线" w:ascii="Arial" w:cs="Arial" w:hAnsi="Arial"/>
          <w:sz w:val="22"/>
        </w:rPr>
        <w:t>包含9,946条审稿句子（review sentences）和11,103条反驳句子（rebuttal sentences）。</w:t>
      </w:r>
    </w:p>
    <w:p>
      <w:pPr>
        <w:numPr>
          <w:numId w:val="3"/>
        </w:numPr>
        <w:spacing w:before="120" w:after="120" w:line="288" w:lineRule="auto"/>
        <w:ind w:left="453"/>
        <w:jc w:val="left"/>
      </w:pPr>
      <w:r>
        <w:rPr>
          <w:rFonts w:eastAsia="等线" w:ascii="Arial" w:cs="Arial" w:hAnsi="Arial"/>
          <w:sz w:val="22"/>
        </w:rPr>
        <w:t>复用三层标注：</w:t>
      </w:r>
    </w:p>
    <w:p>
      <w:pPr>
        <w:numPr>
          <w:numId w:val="4"/>
        </w:numPr>
        <w:spacing w:before="120" w:after="120" w:line="288" w:lineRule="auto"/>
        <w:ind w:left="907"/>
        <w:jc w:val="left"/>
      </w:pPr>
      <w:r>
        <w:rPr>
          <w:rFonts w:eastAsia="等线" w:ascii="Arial" w:cs="Arial" w:hAnsi="Arial"/>
          <w:sz w:val="22"/>
        </w:rPr>
        <w:t>审稿方面（Review Aspect） → 作为态度根源（Attitude Root）（如Clarity、Substance等）。</w:t>
      </w:r>
    </w:p>
    <w:p>
      <w:pPr>
        <w:numPr>
          <w:numId w:val="5"/>
        </w:numPr>
        <w:spacing w:before="120" w:after="120" w:line="288" w:lineRule="auto"/>
        <w:ind w:left="907"/>
        <w:jc w:val="left"/>
      </w:pPr>
      <w:r>
        <w:rPr>
          <w:rFonts w:eastAsia="等线" w:ascii="Arial" w:cs="Arial" w:hAnsi="Arial"/>
          <w:sz w:val="22"/>
        </w:rPr>
        <w:t>审稿-反驳链接（Review-Rebuttal Links）→ 用于关联审稿与对应反驳。</w:t>
      </w:r>
    </w:p>
    <w:p>
      <w:pPr>
        <w:numPr>
          <w:numId w:val="6"/>
        </w:numPr>
        <w:spacing w:before="120" w:after="120" w:line="288" w:lineRule="auto"/>
        <w:ind w:left="907"/>
        <w:jc w:val="left"/>
      </w:pPr>
      <w:r>
        <w:rPr>
          <w:rFonts w:eastAsia="等线" w:ascii="Arial" w:cs="Arial" w:hAnsi="Arial"/>
          <w:sz w:val="22"/>
        </w:rPr>
        <w:t>反驳行为（Rebuttal Actions）（如Task Done、Reject Criticism等）。</w:t>
      </w:r>
    </w:p>
    <w:p>
      <w:pPr>
        <w:numPr>
          <w:numId w:val="7"/>
        </w:numPr>
        <w:spacing w:before="120" w:after="120" w:line="288" w:lineRule="auto"/>
        <w:ind w:left="0"/>
        <w:jc w:val="left"/>
      </w:pPr>
      <w:r>
        <w:rPr>
          <w:rFonts w:eastAsia="等线" w:ascii="Arial" w:cs="Arial" w:hAnsi="Arial"/>
          <w:sz w:val="22"/>
        </w:rPr>
        <w:t>Peer-Review-Analyze数据集（ICLR 2018）：</w:t>
      </w:r>
    </w:p>
    <w:p>
      <w:pPr>
        <w:numPr>
          <w:numId w:val="8"/>
        </w:numPr>
        <w:spacing w:before="120" w:after="120" w:line="288" w:lineRule="auto"/>
        <w:ind w:left="453"/>
        <w:jc w:val="left"/>
      </w:pPr>
      <w:r>
        <w:rPr>
          <w:rFonts w:eastAsia="等线" w:ascii="Arial" w:cs="Arial" w:hAnsi="Arial"/>
          <w:sz w:val="22"/>
        </w:rPr>
        <w:t>提供论文章节标签（Paper Sections） → 作为态度主题（Attitude Theme）（如Methodology、Experiments等）。</w:t>
      </w:r>
    </w:p>
    <w:p>
      <w:pPr>
        <w:pStyle w:val="3"/>
        <w:spacing w:before="300" w:after="120" w:line="288" w:lineRule="auto"/>
        <w:ind w:left="0"/>
        <w:jc w:val="left"/>
        <w:outlineLvl w:val="2"/>
      </w:pPr>
      <w:bookmarkStart w:name="heading_2" w:id="2"/>
      <w:r>
        <w:rPr>
          <w:rFonts w:eastAsia="等线" w:ascii="Arial" w:cs="Arial" w:hAnsi="Arial"/>
          <w:b w:val="true"/>
          <w:sz w:val="30"/>
        </w:rPr>
        <w:t>数据集统计与结构</w:t>
      </w:r>
      <w:bookmarkEnd w:id="2"/>
    </w:p>
    <w:p>
      <w:pPr>
        <w:spacing w:before="120" w:after="120" w:line="288" w:lineRule="auto"/>
        <w:ind w:left="453"/>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28pt;mso-width-percent:0;mso-height-percent:0;mso-width-percent:0;mso-height-percent:0" type="#_x0000_t75" o:ole="">
            <v:imagedata r:id="rId7" o:title=""/>
          </v:shape>
          <o:OLEObject DrawAspect="Icon" ObjectID="_1718471219" ProgID="Excel.Sheet.12" ShapeID="_x0000_i1025" Type="Embed" r:id="rId6"/>
        </w:object>
      </w:r>
    </w:p>
    <w:p>
      <w:pPr>
        <w:spacing w:after="120"/>
        <w:ind w:left="453"/>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bookmarkStart w:name="heading_3" w:id="3"/>
      <w:r>
        <w:rPr>
          <w:rFonts w:eastAsia="等线" w:ascii="Arial" w:cs="Arial" w:hAnsi="Arial"/>
          <w:b w:val="true"/>
          <w:sz w:val="30"/>
        </w:rPr>
        <w:t>总结</w:t>
      </w:r>
      <w:bookmarkEnd w:id="3"/>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tbl>
            <w:tblPr>
              <w:tblW w:w="0" w:type="auto"/>
              <w:tblInd w:w="0" w:type="dxa"/>
              <w:tblBorders>
                <w:top w:val="single" w:color=""/>
                <w:left w:val="single" w:color=""/>
                <w:bottom w:val="single" w:color=""/>
                <w:right w:val="single" w:color=""/>
                <w:insideH w:val="single" w:color=""/>
                <w:insideV w:val="single" w:color=""/>
              </w:tblBorders>
              <w:tblLayout w:type="fixed"/>
            </w:tblPr>
            <w:tblGrid>
              <w:gridCol w:w="3900"/>
            </w:tblGrid>
            <w:tr>
              <w:tc>
                <w:tcPr>
                  <w:tcW w:w="3900" w:type="dxa"/>
                  <w:shd w:color="auto" w:val="clear" w:fill="f0f4ff"/>
                  <w:tcMar>
                    <w:top w:type="dxa" w:w="60"/>
                    <w:left w:type="dxa" w:w="120"/>
                    <w:bottom w:type="dxa" w:w="30"/>
                    <w:right w:type="dxa" w:w="120"/>
                  </w:tcMar>
                </w:tcPr>
                <w:p>
                  <w:pPr>
                    <w:pStyle w:val="2"/>
                    <w:spacing w:before="320" w:after="120" w:line="288" w:lineRule="auto"/>
                    <w:ind w:left="0"/>
                    <w:jc w:val="left"/>
                    <w:outlineLvl w:val="1"/>
                  </w:pPr>
                  <w:bookmarkStart w:name="heading_4" w:id="4"/>
                  <w:r>
                    <w:rPr>
                      <w:rFonts w:eastAsia="等线" w:ascii="Arial" w:cs="Arial" w:hAnsi="Arial"/>
                      <w:b w:val="true"/>
                      <w:color w:val="245bdb"/>
                      <w:sz w:val="32"/>
                    </w:rPr>
                    <w:t>优点</w:t>
                  </w:r>
                  <w:bookmarkEnd w:id="4"/>
                </w:p>
              </w:tc>
            </w:tr>
          </w:tbl>
          <w:p/>
        </w:tc>
        <w:tc>
          <w:tcPr>
            <w:tcW w:w="4140" w:type="dxa"/>
            <w:tcMar>
              <w:top w:type="dxa" w:w="60"/>
              <w:left w:type="dxa" w:w="120"/>
              <w:bottom w:type="dxa" w:w="30"/>
              <w:right w:type="dxa" w:w="120"/>
            </w:tcMar>
          </w:tcPr>
          <w:tbl>
            <w:tblPr>
              <w:tblW w:w="0" w:type="auto"/>
              <w:tblInd w:w="0" w:type="dxa"/>
              <w:tblBorders>
                <w:top w:val="single" w:color=""/>
                <w:left w:val="single" w:color=""/>
                <w:bottom w:val="single" w:color=""/>
                <w:right w:val="single" w:color=""/>
                <w:insideH w:val="single" w:color=""/>
                <w:insideV w:val="single" w:color=""/>
              </w:tblBorders>
              <w:tblLayout w:type="fixed"/>
            </w:tblPr>
            <w:tblGrid>
              <w:gridCol w:w="3900"/>
            </w:tblGrid>
            <w:tr>
              <w:tc>
                <w:tcPr>
                  <w:tcW w:w="3900" w:type="dxa"/>
                  <w:shd w:color="auto" w:val="clear" w:fill="f0fbef"/>
                  <w:tcMar>
                    <w:top w:type="dxa" w:w="60"/>
                    <w:left w:type="dxa" w:w="120"/>
                    <w:bottom w:type="dxa" w:w="30"/>
                    <w:right w:type="dxa" w:w="120"/>
                  </w:tcMar>
                </w:tcPr>
                <w:p>
                  <w:pPr>
                    <w:pStyle w:val="2"/>
                    <w:spacing w:before="320" w:after="120" w:line="288" w:lineRule="auto"/>
                    <w:ind w:left="0"/>
                    <w:jc w:val="left"/>
                    <w:outlineLvl w:val="1"/>
                  </w:pPr>
                  <w:bookmarkStart w:name="heading_5" w:id="5"/>
                  <w:r>
                    <w:rPr>
                      <w:rFonts w:eastAsia="等线" w:ascii="Arial" w:cs="Arial" w:hAnsi="Arial"/>
                      <w:b w:val="true"/>
                      <w:color w:val="2ea121"/>
                      <w:sz w:val="32"/>
                    </w:rPr>
                    <w:t>不足</w:t>
                  </w:r>
                  <w:bookmarkEnd w:id="5"/>
                </w:p>
              </w:tc>
            </w:tr>
          </w:tbl>
          <w:p/>
        </w:tc>
      </w:tr>
    </w:tbl>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numPr>
                <w:numId w:val="9"/>
              </w:numPr>
              <w:spacing w:before="120" w:after="120" w:line="288" w:lineRule="auto"/>
              <w:ind w:left="0"/>
              <w:jc w:val="left"/>
            </w:pPr>
            <w:r>
              <w:rPr>
                <w:rFonts w:eastAsia="等线" w:ascii="Arial" w:cs="Arial" w:hAnsi="Arial"/>
                <w:sz w:val="22"/>
              </w:rPr>
              <w:t>概念转化：</w:t>
              <w:br/>
            </w:r>
            <w:r>
              <w:rPr>
                <w:rFonts w:eastAsia="等线" w:ascii="Arial" w:cs="Arial" w:hAnsi="Arial"/>
                <w:sz w:val="22"/>
              </w:rPr>
              <w:t>将心理学中的"态度根源"映射到学术审稿场景，用审稿方面和论文章节分别代理态度根源和主题。</w:t>
            </w:r>
          </w:p>
          <w:p>
            <w:pPr>
              <w:numPr>
                <w:numId w:val="10"/>
              </w:numPr>
              <w:spacing w:before="120" w:after="120" w:line="288" w:lineRule="auto"/>
              <w:ind w:left="0"/>
              <w:jc w:val="left"/>
            </w:pPr>
            <w:r>
              <w:rPr>
                <w:rFonts w:eastAsia="等线" w:ascii="Arial" w:cs="Arial" w:hAnsi="Arial"/>
                <w:sz w:val="22"/>
              </w:rPr>
              <w:t>领域自适应：</w:t>
              <w:br/>
            </w:r>
            <w:r>
              <w:rPr>
                <w:rFonts w:eastAsia="等线" w:ascii="Arial" w:cs="Arial" w:hAnsi="Arial"/>
                <w:sz w:val="22"/>
              </w:rPr>
              <w:t>通过MLM任务在审稿数据上继续预训练语言模型（如</w:t>
            </w:r>
            <w:r>
              <w:rPr>
                <w:rFonts w:eastAsia="Consolas" w:ascii="Consolas" w:cs="Consolas" w:hAnsi="Consolas"/>
                <w:sz w:val="22"/>
                <w:shd w:fill="EFF0F1"/>
              </w:rPr>
              <w:t>SciBERT_ds_neg</w:t>
            </w:r>
            <w:r>
              <w:rPr>
                <w:rFonts w:eastAsia="等线" w:ascii="Arial" w:cs="Arial" w:hAnsi="Arial"/>
                <w:sz w:val="22"/>
              </w:rPr>
              <w:t>），提升主题分类效果。</w:t>
            </w:r>
          </w:p>
          <w:p>
            <w:pPr>
              <w:numPr>
                <w:numId w:val="11"/>
              </w:numPr>
              <w:spacing w:before="120" w:after="120" w:line="288" w:lineRule="auto"/>
              <w:ind w:left="0"/>
              <w:jc w:val="left"/>
            </w:pPr>
            <w:r>
              <w:rPr>
                <w:rFonts w:eastAsia="等线" w:ascii="Arial" w:cs="Arial" w:hAnsi="Arial"/>
                <w:sz w:val="22"/>
              </w:rPr>
              <w:t>混合筛选策略：</w:t>
              <w:br/>
            </w:r>
            <w:r>
              <w:rPr>
                <w:rFonts w:eastAsia="等线" w:ascii="Arial" w:cs="Arial" w:hAnsi="Arial"/>
                <w:sz w:val="22"/>
              </w:rPr>
              <w:t>结合自动分类器粗筛与人工偏好标注细筛，最终用图排序算法提取典型反驳。</w:t>
            </w:r>
          </w:p>
          <w:p>
            <w:pPr>
              <w:spacing w:before="120" w:after="120" w:line="288" w:lineRule="auto"/>
              <w:ind w:left="0"/>
              <w:jc w:val="left"/>
            </w:pPr>
          </w:p>
        </w:tc>
        <w:tc>
          <w:tcPr>
            <w:tcW w:w="4140" w:type="dxa"/>
            <w:tcMar>
              <w:top w:type="dxa" w:w="60"/>
              <w:left w:type="dxa" w:w="120"/>
              <w:bottom w:type="dxa" w:w="30"/>
              <w:right w:type="dxa" w:w="120"/>
            </w:tcMar>
          </w:tcPr>
          <w:p>
            <w:pPr>
              <w:numPr>
                <w:numId w:val="12"/>
              </w:numPr>
              <w:spacing w:before="120" w:after="120" w:line="288" w:lineRule="auto"/>
              <w:ind w:left="0"/>
              <w:jc w:val="left"/>
            </w:pPr>
            <w:r>
              <w:rPr>
                <w:rFonts w:eastAsia="等线" w:ascii="Arial" w:cs="Arial" w:hAnsi="Arial"/>
                <w:i w:val="true"/>
                <w:sz w:val="22"/>
              </w:rPr>
              <w:t>数据仅来自ICLR，未覆盖自然科学或人文学科</w:t>
            </w:r>
          </w:p>
          <w:p>
            <w:pPr>
              <w:numPr>
                <w:numId w:val="13"/>
              </w:numPr>
              <w:spacing w:before="120" w:after="120" w:line="288" w:lineRule="auto"/>
              <w:ind w:left="0"/>
              <w:jc w:val="left"/>
            </w:pPr>
            <w:r>
              <w:rPr>
                <w:rFonts w:eastAsia="等线" w:ascii="Arial" w:cs="Arial" w:hAnsi="Arial"/>
                <w:i w:val="true"/>
                <w:sz w:val="22"/>
              </w:rPr>
              <w:t>稀疏映射：并非所有审稿句都有对应典型反驳，原始数据有缺失</w:t>
            </w:r>
          </w:p>
          <w:p>
            <w:pPr>
              <w:numPr>
                <w:numId w:val="14"/>
              </w:numPr>
              <w:spacing w:before="120" w:after="120" w:line="288" w:lineRule="auto"/>
              <w:ind w:left="0"/>
              <w:jc w:val="left"/>
            </w:pPr>
            <w:r>
              <w:rPr>
                <w:rFonts w:eastAsia="等线" w:ascii="Arial" w:cs="Arial" w:hAnsi="Arial"/>
                <w:sz w:val="22"/>
              </w:rPr>
              <w:t>论文"Limitations"部分提到，典型反驳作为模板需人工细化，需要避免直接替代人类写作</w:t>
            </w:r>
          </w:p>
          <w:p>
            <w:pPr>
              <w:pStyle w:val="4"/>
              <w:spacing w:before="260" w:after="120" w:line="288" w:lineRule="auto"/>
              <w:ind w:left="0"/>
              <w:jc w:val="left"/>
              <w:outlineLvl w:val="3"/>
            </w:pPr>
            <w:bookmarkStart w:name="heading_6" w:id="6"/>
            <w:bookmarkEnd w:id="6"/>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 xml:space="preserve">1.2 </w:t>
      </w:r>
      <w:r>
        <w:rPr>
          <w:rFonts w:eastAsia="等线" w:ascii="Arial" w:cs="Arial" w:hAnsi="Arial"/>
          <w:sz w:val="22"/>
        </w:rPr>
      </w:r>
      <m:oMath xmlns:m="http://schemas.openxmlformats.org/officeDocument/2006/math" xmlns:mml="http://www.w3.org/1998/Math/MathML">
        <m:r>
          <w:rPr>
            <w:rFonts w:ascii="Cambria Math" w:hAnsi="Cambria Math"/>
          </w:rPr>
          <m:t>R</m:t>
        </m:r>
        <m:sSup>
          <m:e>
            <m:r>
              <w:rPr>
                <w:rFonts w:ascii="Cambria Math" w:hAnsi="Cambria Math"/>
              </w:rPr>
              <m:t>E</m:t>
            </m:r>
          </m:e>
          <m:sup>
            <m:r>
              <w:rPr>
                <w:rFonts w:ascii="Cambria Math" w:hAnsi="Cambria Math"/>
              </w:rPr>
              <m:t>2</m:t>
            </m:r>
          </m:sup>
        </m:sSup>
      </m:oMath>
      <w:r>
        <w:rPr>
          <w:rFonts w:eastAsia="等线" w:ascii="Arial" w:cs="Arial" w:hAnsi="Arial"/>
          <w:sz w:val="22"/>
        </w:rPr>
        <w:t>:</w:t>
      </w:r>
      <w:hyperlink r:id="rId8">
        <w:r>
          <w:rPr>
            <w:rFonts w:eastAsia="等线" w:ascii="Arial" w:cs="Arial" w:hAnsi="Arial"/>
            <w:color w:val="3370ff"/>
            <w:sz w:val="22"/>
          </w:rPr>
          <w:t>A Consistency-ensured Dataset for Full-stage Peer Review and Multi-turn Rebuttal Discussions</w:t>
        </w:r>
      </w:hyperlink>
    </w:p>
    <w:p>
      <w:pPr>
        <w:spacing w:before="120" w:after="120" w:line="288" w:lineRule="auto"/>
        <w:ind w:left="0"/>
        <w:jc w:val="left"/>
      </w:pPr>
      <w:r>
        <w:rPr>
          <w:rFonts w:eastAsia="等线" w:ascii="Arial" w:cs="Arial" w:hAnsi="Arial"/>
          <w:sz w:val="22"/>
        </w:rPr>
        <w:t xml:space="preserve">1.3 </w:t>
      </w:r>
      <w:hyperlink r:id="rId9">
        <w:r>
          <w:rPr>
            <w:rFonts w:eastAsia="等线" w:ascii="Arial" w:cs="Arial" w:hAnsi="Arial"/>
            <w:color w:val="3370ff"/>
            <w:sz w:val="22"/>
            <w:u w:val="single"/>
          </w:rPr>
          <w:t>APE: Argument Pair Extraction from Peer Review and Rebuttal via Multi-task Learning</w:t>
        </w:r>
      </w:hyperlink>
    </w:p>
    <w:p>
      <w:pPr>
        <w:spacing w:before="120" w:after="120" w:line="288" w:lineRule="auto"/>
        <w:ind w:left="0"/>
        <w:jc w:val="left"/>
      </w:pPr>
      <w:r>
        <w:rPr>
          <w:rFonts w:eastAsia="等线" w:ascii="Arial" w:cs="Arial" w:hAnsi="Arial"/>
          <w:sz w:val="22"/>
        </w:rPr>
        <w:t xml:space="preserve">1.4 </w:t>
      </w:r>
      <w:hyperlink r:id="rId10">
        <w:r>
          <w:rPr>
            <w:rFonts w:eastAsia="等线" w:ascii="Arial" w:cs="Arial" w:hAnsi="Arial"/>
            <w:color w:val="3370ff"/>
            <w:sz w:val="22"/>
          </w:rPr>
          <w:t>Incorporating peer reviewsand rebuttal counter-arguments for meta-review generation.</w:t>
        </w:r>
      </w:hyperlink>
    </w:p>
    <w:p>
      <w:pPr>
        <w:spacing w:before="120" w:after="120" w:line="288" w:lineRule="auto"/>
        <w:ind w:left="0"/>
        <w:jc w:val="left"/>
      </w:pPr>
      <w:r>
        <w:rPr>
          <w:rFonts w:eastAsia="等线" w:ascii="Arial" w:cs="Arial" w:hAnsi="Arial"/>
          <w:sz w:val="22"/>
        </w:rPr>
        <w:t>原文摘要：同行评审是科学过程中的关键环节，研究论文需由多位评审人进行评估。在大多数顶级会议中设立的作者反驳阶段，为作者提供了针对评审意见为其工作进行辩护的机会。评审人指出的优缺点以及作者的回应，将由领域主席进行评估。最终决定通常会附带说明接受/拒绝理由的元评审。先前研究已探索使用基于Transformer的摘要模型生成元评审。然而，这些研究大多未充分考虑反驳内容本身以及评审意见与反驳论点之间的互动，而其中论据的说服力对最终决定具有重要影响。为生成能够有效整合评审人观点与作者回应、内容全面的元评审，我们提出了一种新颖的生成模型。该模型能够显式地建模复杂的论证结构，不仅涵盖评审人与作者之间的论点交锋，还包括审稿人内部的讨论。实验结果表明，在自动评估和人工评估两方面，我们的模型均优于基线方法，验证了所提方法的有效性。</w:t>
      </w:r>
    </w:p>
    <w:p>
      <w:pPr>
        <w:spacing w:before="120" w:after="120" w:line="288" w:lineRule="auto"/>
        <w:ind w:left="0"/>
        <w:jc w:val="left"/>
      </w:pPr>
      <w:r>
        <w:rPr>
          <w:rFonts w:eastAsia="等线" w:ascii="Arial" w:cs="Arial" w:hAnsi="Arial"/>
          <w:sz w:val="22"/>
        </w:rPr>
        <w:t xml:space="preserve">1.5 </w:t>
      </w:r>
      <w:hyperlink r:id="rId11">
        <w:r>
          <w:rPr>
            <w:rFonts w:eastAsia="等线" w:ascii="Arial" w:cs="Arial" w:hAnsi="Arial"/>
            <w:color w:val="3370ff"/>
            <w:sz w:val="22"/>
          </w:rPr>
          <w:t>Does my rebuttal matter? insights from a major nlp conference.In Proceedings of NAACL.</w:t>
        </w:r>
      </w:hyperlink>
    </w:p>
    <w:p>
      <w:pPr>
        <w:spacing w:before="120" w:after="120" w:line="288" w:lineRule="auto"/>
        <w:ind w:left="0"/>
        <w:jc w:val="left"/>
      </w:pPr>
      <w:r>
        <w:rPr>
          <w:rFonts w:eastAsia="等线" w:ascii="Arial" w:cs="Arial" w:hAnsi="Arial"/>
          <w:sz w:val="22"/>
        </w:rPr>
        <w:t>原文摘要：同行评审是科学过程的核心要素，在以会议为中心的领域（如机器学习ML和自然语言处理NLP）中尤其如此。然而，目前仅有少数研究对其特性进行了实证评估。为填补这一空白，我们构建了一个包含来自ACL-2018会议的4000余份评审意见和1200余份作者回应的语料库。我们对该语料库进行了定量和定性评估。这包括对评审人指出的论文弱点以及作者回应质量的初步分析。随后，我们聚焦于反驳阶段的作用，并提出了一项新颖的任务：基于初始评审意见和作者回应，预测反驳后（即最终）的评分。尽管作者回应确实对最终评分具有有限但显著的影响（尤其在边界论文上），但我们的结果表明，评审人的最终评分很大程度上由其初始评分及其与其他评审人初始评分的差异所决定。在此背景下，我们探讨了同行评审中固有的从众偏差，这一偏差在先前研究中长期被忽视。我们希望我们的分析将有助于更好地评估NLP会议中反驳阶段的有效性。</w:t>
      </w:r>
    </w:p>
    <w:p>
      <w:pPr>
        <w:spacing w:before="120" w:after="120" w:line="288" w:lineRule="auto"/>
        <w:ind w:left="0"/>
        <w:jc w:val="left"/>
      </w:pPr>
      <w:r>
        <w:rPr>
          <w:rFonts w:eastAsia="等线" w:ascii="Arial" w:cs="Arial" w:hAnsi="Arial"/>
          <w:sz w:val="22"/>
        </w:rPr>
        <w:t xml:space="preserve">1.6 </w:t>
      </w:r>
      <w:hyperlink r:id="rId12">
        <w:r>
          <w:rPr>
            <w:rFonts w:eastAsia="等线" w:ascii="Arial" w:cs="Arial" w:hAnsi="Arial"/>
            <w:color w:val="3370ff"/>
            <w:sz w:val="22"/>
          </w:rPr>
          <w:t>Are You Convinced? Choosing the More Convincing Evidence with a Siamese Network</w:t>
        </w:r>
      </w:hyperlink>
    </w:p>
    <w:p>
      <w:pPr>
        <w:spacing w:before="120" w:after="120" w:line="288" w:lineRule="auto"/>
        <w:ind w:left="0"/>
        <w:jc w:val="left"/>
      </w:pPr>
      <w:r>
        <w:rPr>
          <w:rFonts w:eastAsia="等线" w:ascii="Arial" w:cs="Arial" w:hAnsi="Arial"/>
          <w:sz w:val="22"/>
        </w:rPr>
        <w:t>原文摘要：随着论证检测技术的进步，我们建议将更多关注投向一项更具挑战性的任务：识别更具说服力的论点。能够以有益方式回应并与人类交互的机器已无处不在。如今，我们期望它们能与我们讨论世界上更为微妙的问题，并且它们应配备有效的论点来做到这一点。但究竟是什么使一个论点更具说服力？什么能说服你？本文中，我们提出了一个新的数据集 IBM-EviConv，该数据集包含标注了说服力程度 的论据对，其设计旨在比现有替代数据集更具挑战性。我们还提出了一种孪生神经网络架构，实验证明该架构在先前的一个说服力数据集和我们自建数据集上均优于多个基线模型。最后，我们对实验结果进行了深入分析，并阐释了我们的方法能够检测到的各类论证力度。</w:t>
      </w:r>
    </w:p>
    <w:p>
      <w:pPr>
        <w:pStyle w:val="1"/>
        <w:spacing w:before="380" w:after="140" w:line="288" w:lineRule="auto"/>
        <w:ind w:left="0"/>
        <w:jc w:val="left"/>
        <w:outlineLvl w:val="0"/>
      </w:pPr>
      <w:bookmarkStart w:name="heading_7" w:id="7"/>
      <w:r>
        <w:rPr>
          <w:rFonts w:eastAsia="等线" w:ascii="Arial" w:cs="Arial" w:hAnsi="Arial"/>
          <w:b w:val="true"/>
          <w:sz w:val="36"/>
        </w:rPr>
        <w:t>三、其他</w:t>
      </w:r>
      <w:bookmarkEnd w:id="7"/>
    </w:p>
    <w:p>
      <w:pPr>
        <w:spacing w:before="120" w:after="120" w:line="288" w:lineRule="auto"/>
        <w:ind w:left="0"/>
        <w:jc w:val="left"/>
      </w:pPr>
      <w:hyperlink r:id="rId13">
        <w:r>
          <w:rPr>
            <w:rFonts w:eastAsia="等线" w:ascii="Arial" w:cs="Arial" w:hAnsi="Arial"/>
            <w:color w:val="3370ff"/>
            <w:sz w:val="22"/>
          </w:rPr>
          <w:t>从 OpenReview 获取顶会接收论文集并保存至本地数据库</w:t>
        </w:r>
      </w:hyperlink>
    </w:p>
    <w:p>
      <w:pPr>
        <w:spacing w:before="120" w:after="120" w:line="288" w:lineRule="auto"/>
        <w:ind w:left="0"/>
        <w:jc w:val="left"/>
      </w:pPr>
      <w:hyperlink r:id="rId14">
        <w:r>
          <w:rPr>
            <w:rFonts w:eastAsia="等线" w:ascii="Arial" w:cs="Arial" w:hAnsi="Arial"/>
            <w:color w:val="3370ff"/>
            <w:sz w:val="22"/>
          </w:rPr>
          <w:t xml:space="preserve"> 能不能用Chatgpt回复审稿人意见</w:t>
        </w:r>
      </w:hyperlink>
      <w:r>
        <w:rPr>
          <w:rFonts w:eastAsia="等线" w:ascii="Arial" w:cs="Arial" w:hAnsi="Arial"/>
          <w:sz w:val="22"/>
        </w:rPr>
        <w:t xml:space="preserve">  （有趣的回答）</w:t>
      </w:r>
    </w:p>
    <w:p>
      <w:pPr>
        <w:spacing w:before="120" w:after="120" w:line="288" w:lineRule="auto"/>
        <w:ind w:left="0"/>
        <w:jc w:val="left"/>
      </w:pPr>
      <w:hyperlink r:id="rId15">
        <w:r>
          <w:rPr>
            <w:rFonts w:eastAsia="等线" w:ascii="Arial" w:cs="Arial" w:hAnsi="Arial"/>
            <w:color w:val="3370ff"/>
            <w:sz w:val="22"/>
          </w:rPr>
          <w:t xml:space="preserve">  这个项目是一个用于从同行评审和反驳中提取论点对的自然语言处理工具</w:t>
        </w:r>
      </w:hyperlink>
    </w:p>
    <w:p>
      <w:pPr>
        <w:spacing w:before="120" w:after="120" w:line="288" w:lineRule="auto"/>
        <w:ind w:left="0"/>
        <w:jc w:val="left"/>
      </w:pPr>
      <w:r>
        <w:rPr>
          <w:rFonts w:eastAsia="等线" w:ascii="Arial" w:cs="Arial" w:hAnsi="Arial"/>
          <w:sz w:val="22"/>
        </w:rPr>
        <w:t>关于bias</w:t>
      </w:r>
    </w:p>
    <w:p>
      <w:pPr>
        <w:spacing w:before="120" w:after="120" w:line="288" w:lineRule="auto"/>
        <w:ind w:left="0"/>
        <w:jc w:val="left"/>
      </w:pPr>
      <w:hyperlink r:id="rId16">
        <w:r>
          <w:rPr>
            <w:rFonts w:eastAsia="等线" w:ascii="Arial" w:cs="Arial" w:hAnsi="Arial"/>
            <w:color w:val="3370ff"/>
            <w:sz w:val="22"/>
          </w:rPr>
          <w:t>Prior and Prejudice: The Novice Reviewers' Bias against Resubmissions in Conference Peer Review</w:t>
        </w:r>
      </w:hyperlink>
    </w:p>
    <w:p>
      <w:pPr>
        <w:spacing w:before="120" w:after="120" w:line="288" w:lineRule="auto"/>
        <w:ind w:left="0"/>
        <w:jc w:val="left"/>
      </w:pPr>
      <w:hyperlink r:id="rId17">
        <w:r>
          <w:rPr>
            <w:rFonts w:eastAsia="等线" w:ascii="Arial" w:cs="Arial" w:hAnsi="Arial"/>
            <w:color w:val="3370ff"/>
            <w:sz w:val="22"/>
          </w:rPr>
          <w:t>Reviewer bias in single- versus double-blind peer review</w:t>
        </w:r>
      </w:hyperlink>
    </w:p>
    <w:p>
      <w:pPr>
        <w:pStyle w:val="1"/>
        <w:spacing w:before="380" w:after="140" w:line="288" w:lineRule="auto"/>
        <w:ind w:left="0"/>
        <w:jc w:val="left"/>
        <w:outlineLvl w:val="0"/>
      </w:pPr>
      <w:bookmarkStart w:name="heading_8" w:id="8"/>
      <w:bookmarkEnd w:id="8"/>
    </w:p>
    <w:p>
      <w:pPr>
        <w:spacing w:before="120" w:after="120" w:line="288" w:lineRule="auto"/>
        <w:ind w:left="0"/>
        <w:jc w:val="left"/>
      </w:pPr>
    </w:p>
    <w:sectPr>
      <w:footerReference w:type="default" r:id="rId3"/>
      <w:headerReference w:type="default"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92726">
    <w:lvl>
      <w:numFmt w:val="bullet"/>
      <w:suff w:val="tab"/>
      <w:lvlText w:val="•"/>
      <w:rPr>
        <w:color w:val="3370ff"/>
      </w:rPr>
    </w:lvl>
  </w:abstractNum>
  <w:abstractNum w:abstractNumId="1692727">
    <w:lvl>
      <w:numFmt w:val="bullet"/>
      <w:suff w:val="tab"/>
      <w:lvlText w:val="￮"/>
      <w:rPr>
        <w:color w:val="3370ff"/>
      </w:rPr>
    </w:lvl>
  </w:abstractNum>
  <w:abstractNum w:abstractNumId="1692728">
    <w:lvl>
      <w:numFmt w:val="bullet"/>
      <w:suff w:val="tab"/>
      <w:lvlText w:val="￮"/>
      <w:rPr>
        <w:color w:val="3370ff"/>
      </w:rPr>
    </w:lvl>
  </w:abstractNum>
  <w:abstractNum w:abstractNumId="1692729">
    <w:lvl>
      <w:numFmt w:val="bullet"/>
      <w:suff w:val="tab"/>
      <w:lvlText w:val="▪"/>
      <w:rPr>
        <w:color w:val="3370ff"/>
        <w:sz w:val="11"/>
      </w:rPr>
    </w:lvl>
  </w:abstractNum>
  <w:abstractNum w:abstractNumId="1692730">
    <w:lvl>
      <w:numFmt w:val="bullet"/>
      <w:suff w:val="tab"/>
      <w:lvlText w:val="▪"/>
      <w:rPr>
        <w:color w:val="3370ff"/>
        <w:sz w:val="11"/>
      </w:rPr>
    </w:lvl>
  </w:abstractNum>
  <w:abstractNum w:abstractNumId="1692731">
    <w:lvl>
      <w:numFmt w:val="bullet"/>
      <w:suff w:val="tab"/>
      <w:lvlText w:val="▪"/>
      <w:rPr>
        <w:color w:val="3370ff"/>
        <w:sz w:val="11"/>
      </w:rPr>
    </w:lvl>
  </w:abstractNum>
  <w:abstractNum w:abstractNumId="1692732">
    <w:lvl>
      <w:numFmt w:val="bullet"/>
      <w:suff w:val="tab"/>
      <w:lvlText w:val="•"/>
      <w:rPr>
        <w:color w:val="3370ff"/>
      </w:rPr>
    </w:lvl>
  </w:abstractNum>
  <w:abstractNum w:abstractNumId="1692733">
    <w:lvl>
      <w:numFmt w:val="bullet"/>
      <w:suff w:val="tab"/>
      <w:lvlText w:val="￮"/>
      <w:rPr>
        <w:color w:val="3370ff"/>
      </w:rPr>
    </w:lvl>
  </w:abstractNum>
  <w:abstractNum w:abstractNumId="1692734">
    <w:lvl>
      <w:start w:val="1"/>
      <w:numFmt w:val="decimal"/>
      <w:suff w:val="tab"/>
      <w:lvlText w:val="%1."/>
      <w:rPr>
        <w:color w:val="3370ff"/>
      </w:rPr>
    </w:lvl>
  </w:abstractNum>
  <w:abstractNum w:abstractNumId="1692735">
    <w:lvl>
      <w:start w:val="2"/>
      <w:numFmt w:val="decimal"/>
      <w:suff w:val="tab"/>
      <w:lvlText w:val="%1."/>
      <w:rPr>
        <w:color w:val="3370ff"/>
      </w:rPr>
    </w:lvl>
  </w:abstractNum>
  <w:abstractNum w:abstractNumId="1692736">
    <w:lvl>
      <w:start w:val="3"/>
      <w:numFmt w:val="decimal"/>
      <w:suff w:val="tab"/>
      <w:lvlText w:val="%1."/>
      <w:rPr>
        <w:color w:val="3370ff"/>
      </w:rPr>
    </w:lvl>
  </w:abstractNum>
  <w:abstractNum w:abstractNumId="1692737">
    <w:lvl>
      <w:numFmt w:val="bullet"/>
      <w:suff w:val="tab"/>
      <w:lvlText w:val="•"/>
      <w:rPr>
        <w:color w:val="3370ff"/>
      </w:rPr>
    </w:lvl>
  </w:abstractNum>
  <w:abstractNum w:abstractNumId="1692738">
    <w:lvl>
      <w:numFmt w:val="bullet"/>
      <w:suff w:val="tab"/>
      <w:lvlText w:val="•"/>
      <w:rPr>
        <w:color w:val="3370ff"/>
      </w:rPr>
    </w:lvl>
  </w:abstractNum>
  <w:abstractNum w:abstractNumId="1692739">
    <w:lvl>
      <w:numFmt w:val="bullet"/>
      <w:suff w:val="tab"/>
      <w:lvlText w:val="•"/>
      <w:rPr>
        <w:color w:val="3370ff"/>
      </w:rPr>
    </w:lvl>
  </w:abstractNum>
  <w:num w:numId="1">
    <w:abstractNumId w:val="1692726"/>
  </w:num>
  <w:num w:numId="2">
    <w:abstractNumId w:val="1692727"/>
  </w:num>
  <w:num w:numId="3">
    <w:abstractNumId w:val="1692728"/>
  </w:num>
  <w:num w:numId="4">
    <w:abstractNumId w:val="1692729"/>
  </w:num>
  <w:num w:numId="5">
    <w:abstractNumId w:val="1692730"/>
  </w:num>
  <w:num w:numId="6">
    <w:abstractNumId w:val="1692731"/>
  </w:num>
  <w:num w:numId="7">
    <w:abstractNumId w:val="1692732"/>
  </w:num>
  <w:num w:numId="8">
    <w:abstractNumId w:val="1692733"/>
  </w:num>
  <w:num w:numId="9">
    <w:abstractNumId w:val="1692734"/>
  </w:num>
  <w:num w:numId="10">
    <w:abstractNumId w:val="1692735"/>
  </w:num>
  <w:num w:numId="11">
    <w:abstractNumId w:val="1692736"/>
  </w:num>
  <w:num w:numId="12">
    <w:abstractNumId w:val="1692737"/>
  </w:num>
  <w:num w:numId="13">
    <w:abstractNumId w:val="1692738"/>
  </w:num>
  <w:num w:numId="14">
    <w:abstractNumId w:val="169273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dl.acm.org/doi/10.1145/3511808.3557360" TargetMode="External" Type="http://schemas.openxmlformats.org/officeDocument/2006/relationships/hyperlink"/><Relationship Id="rId11" Target="https://aclanthology.org/N19-1129/" TargetMode="External" Type="http://schemas.openxmlformats.org/officeDocument/2006/relationships/hyperlink"/><Relationship Id="rId12" Target="https://aclanthology.org/P19-1093.pdf" TargetMode="External" Type="http://schemas.openxmlformats.org/officeDocument/2006/relationships/hyperlink"/><Relationship Id="rId13" Target="https://zhuanlan.zhihu.com/p/628467095" TargetMode="External" Type="http://schemas.openxmlformats.org/officeDocument/2006/relationships/hyperlink"/><Relationship Id="rId14" Target="https://www.zhihu.com/question/582718387?write" TargetMode="External" Type="http://schemas.openxmlformats.org/officeDocument/2006/relationships/hyperlink"/><Relationship Id="rId15" Target="https://github.com/LiyingCheng95/ArgumentPairExtraction" TargetMode="External" Type="http://schemas.openxmlformats.org/officeDocument/2006/relationships/hyperlink"/><Relationship Id="rId16" Target="https://dl.acm.org/doi/abs/10.1145/3449149" TargetMode="External" Type="http://schemas.openxmlformats.org/officeDocument/2006/relationships/hyperlink"/><Relationship Id="rId17" Target="https://www.pnas.org/doi/full/10.1073/pnas.1707323114" TargetMode="External" Type="http://schemas.openxmlformats.org/officeDocument/2006/relationships/hyperlink"/><Relationship Id="rId18"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arxiv.org/abs/2311.03998" TargetMode="External" Type="http://schemas.openxmlformats.org/officeDocument/2006/relationships/hyperlink"/><Relationship Id="rId5" Target="numbering.xml" Type="http://schemas.openxmlformats.org/officeDocument/2006/relationships/numbering"/><Relationship Id="rId6" Target="embeddings/Microsoft_Excel_Worksheet1.xlsx" Type="http://schemas.openxmlformats.org/officeDocument/2006/relationships/package"/><Relationship Id="rId7" Target="media/image1.png" Type="http://schemas.openxmlformats.org/officeDocument/2006/relationships/image"/><Relationship Id="rId8" Target="https://arxiv.org/pdf/2505.07920" TargetMode="External" Type="http://schemas.openxmlformats.org/officeDocument/2006/relationships/hyperlink"/><Relationship Id="rId9" Target="https://aclanthology.org/2020.emnlp-main.56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2025-07-07T15:56:58Z</dcterms:created>
  <dc:creator>Apache POI</dc:creator>
</cp:coreProperties>
</file>