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v="urn:schemas-microsoft-com:vml" xmlns:o="urn:schemas-microsoft-com:office:office" xmlns:wp="http://schemas.openxmlformats.org/drawingml/2006/wordprocessingDrawing">
  <w:body>
    <w:p>
      <w:pPr>
        <w:spacing w:before="480" w:after="480" w:line="288" w:lineRule="auto"/>
        <w:ind w:left="0"/>
      </w:pPr>
      <w:r>
        <w:rPr>
          <w:rFonts w:eastAsia="等线" w:ascii="Arial" w:cs="Arial" w:hAnsi="Arial"/>
          <w:b w:val="true"/>
          <w:sz w:val="52"/>
        </w:rPr>
        <w:t>ai rebuttal</w:t>
      </w:r>
    </w:p>
    <w:p>
      <w:pPr>
        <w:pStyle w:val="2"/>
        <w:spacing w:before="320" w:after="120" w:line="288" w:lineRule="auto"/>
        <w:ind w:left="0"/>
        <w:jc w:val="left"/>
        <w:outlineLvl w:val="1"/>
      </w:pPr>
      <w:bookmarkStart w:name="heading_0" w:id="0"/>
      <w:r>
        <w:rPr>
          <w:rFonts w:eastAsia="等线" w:ascii="Arial" w:cs="Arial" w:hAnsi="Arial"/>
          <w:b w:val="true"/>
          <w:sz w:val="32"/>
        </w:rPr>
        <w:t xml:space="preserve">1.1 </w:t>
      </w:r>
      <w:hyperlink r:id="rId4">
        <w:r>
          <w:rPr>
            <w:rFonts w:eastAsia="等线" w:ascii="Arial" w:cs="Arial" w:hAnsi="Arial"/>
            <w:b w:val="true"/>
            <w:color w:val="3370ff"/>
            <w:sz w:val="32"/>
          </w:rPr>
          <w:t>Exploring Jiu-Jitsu Argumentation for Writing Peer Review Rebuttals</w:t>
        </w:r>
      </w:hyperlink>
      <w:r>
        <w:rPr>
          <w:rFonts w:eastAsia="等线" w:ascii="Arial" w:cs="Arial" w:hAnsi="Arial"/>
          <w:b w:val="true"/>
          <w:sz w:val="32"/>
        </w:rPr>
        <w:t xml:space="preserve"> Accepted at EMNLP Main Conference 2023</w:t>
      </w:r>
      <w:bookmarkEnd w:id="0"/>
    </w:p>
    <w:p>
      <w:pPr>
        <w:pStyle w:val="3"/>
        <w:spacing w:before="300" w:after="120" w:line="288" w:lineRule="auto"/>
        <w:ind w:left="0"/>
        <w:jc w:val="left"/>
        <w:outlineLvl w:val="2"/>
      </w:pPr>
      <w:bookmarkStart w:name="heading_1" w:id="1"/>
      <w:r>
        <w:rPr>
          <w:rFonts w:eastAsia="等线" w:ascii="Arial" w:cs="Arial" w:hAnsi="Arial"/>
          <w:b w:val="true"/>
          <w:sz w:val="30"/>
        </w:rPr>
        <w:t>基础数据来源</w:t>
      </w:r>
      <w:bookmarkEnd w:id="1"/>
    </w:p>
    <w:p>
      <w:pPr>
        <w:numPr>
          <w:numId w:val="1"/>
        </w:numPr>
        <w:spacing w:before="120" w:after="120" w:line="288" w:lineRule="auto"/>
        <w:ind w:left="0"/>
        <w:jc w:val="left"/>
      </w:pPr>
      <w:r>
        <w:rPr>
          <w:rFonts w:eastAsia="等线" w:ascii="Arial" w:cs="Arial" w:hAnsi="Arial"/>
          <w:sz w:val="22"/>
        </w:rPr>
        <w:t>DISAPERE数据集（ICLR 2019-2020）：</w:t>
      </w:r>
    </w:p>
    <w:p>
      <w:pPr>
        <w:numPr>
          <w:numId w:val="2"/>
        </w:numPr>
        <w:spacing w:before="120" w:after="120" w:line="288" w:lineRule="auto"/>
        <w:ind w:left="453"/>
        <w:jc w:val="left"/>
      </w:pPr>
      <w:r>
        <w:rPr>
          <w:rFonts w:eastAsia="等线" w:ascii="Arial" w:cs="Arial" w:hAnsi="Arial"/>
          <w:sz w:val="22"/>
        </w:rPr>
        <w:t>包含9,946条审稿句子（review sentences）和11,103条反驳句子（rebuttal sentences）。</w:t>
      </w:r>
    </w:p>
    <w:p>
      <w:pPr>
        <w:numPr>
          <w:numId w:val="3"/>
        </w:numPr>
        <w:spacing w:before="120" w:after="120" w:line="288" w:lineRule="auto"/>
        <w:ind w:left="453"/>
        <w:jc w:val="left"/>
      </w:pPr>
      <w:r>
        <w:rPr>
          <w:rFonts w:eastAsia="等线" w:ascii="Arial" w:cs="Arial" w:hAnsi="Arial"/>
          <w:sz w:val="22"/>
        </w:rPr>
        <w:t>复用三层标注：</w:t>
      </w:r>
    </w:p>
    <w:p>
      <w:pPr>
        <w:numPr>
          <w:numId w:val="4"/>
        </w:numPr>
        <w:spacing w:before="120" w:after="120" w:line="288" w:lineRule="auto"/>
        <w:ind w:left="907"/>
        <w:jc w:val="left"/>
      </w:pPr>
      <w:r>
        <w:rPr>
          <w:rFonts w:eastAsia="等线" w:ascii="Arial" w:cs="Arial" w:hAnsi="Arial"/>
          <w:sz w:val="22"/>
        </w:rPr>
        <w:t>审稿方面（Review Aspect） → 作为态度根源（Attitude Root）（如Clarity、Substance等）。</w:t>
      </w:r>
    </w:p>
    <w:p>
      <w:pPr>
        <w:numPr>
          <w:numId w:val="5"/>
        </w:numPr>
        <w:spacing w:before="120" w:after="120" w:line="288" w:lineRule="auto"/>
        <w:ind w:left="907"/>
        <w:jc w:val="left"/>
      </w:pPr>
      <w:r>
        <w:rPr>
          <w:rFonts w:eastAsia="等线" w:ascii="Arial" w:cs="Arial" w:hAnsi="Arial"/>
          <w:sz w:val="22"/>
        </w:rPr>
        <w:t>审稿-反驳链接（Review-Rebuttal Links）→ 用于关联审稿与对应反驳。</w:t>
      </w:r>
    </w:p>
    <w:p>
      <w:pPr>
        <w:numPr>
          <w:numId w:val="6"/>
        </w:numPr>
        <w:spacing w:before="120" w:after="120" w:line="288" w:lineRule="auto"/>
        <w:ind w:left="907"/>
        <w:jc w:val="left"/>
      </w:pPr>
      <w:r>
        <w:rPr>
          <w:rFonts w:eastAsia="等线" w:ascii="Arial" w:cs="Arial" w:hAnsi="Arial"/>
          <w:sz w:val="22"/>
        </w:rPr>
        <w:t>反驳行为（Rebuttal Actions）（如Task Done、Reject Criticism等）。</w:t>
      </w:r>
    </w:p>
    <w:p>
      <w:pPr>
        <w:numPr>
          <w:numId w:val="7"/>
        </w:numPr>
        <w:spacing w:before="120" w:after="120" w:line="288" w:lineRule="auto"/>
        <w:ind w:left="0"/>
        <w:jc w:val="left"/>
      </w:pPr>
      <w:r>
        <w:rPr>
          <w:rFonts w:eastAsia="等线" w:ascii="Arial" w:cs="Arial" w:hAnsi="Arial"/>
          <w:sz w:val="22"/>
        </w:rPr>
        <w:t>Peer-Review-Analyze数据集（ICLR 2018）：</w:t>
      </w:r>
    </w:p>
    <w:p>
      <w:pPr>
        <w:numPr>
          <w:numId w:val="8"/>
        </w:numPr>
        <w:spacing w:before="120" w:after="120" w:line="288" w:lineRule="auto"/>
        <w:ind w:left="453"/>
        <w:jc w:val="left"/>
      </w:pPr>
      <w:r>
        <w:rPr>
          <w:rFonts w:eastAsia="等线" w:ascii="Arial" w:cs="Arial" w:hAnsi="Arial"/>
          <w:sz w:val="22"/>
        </w:rPr>
        <w:t>提供论文章节标签（Paper Sections） → 作为态度主题（Attitude Theme）（如Methodology、Experiments等）。</w:t>
      </w:r>
    </w:p>
    <w:p>
      <w:pPr>
        <w:pStyle w:val="3"/>
        <w:spacing w:before="300" w:after="120" w:line="288" w:lineRule="auto"/>
        <w:ind w:left="0"/>
        <w:jc w:val="left"/>
        <w:outlineLvl w:val="2"/>
      </w:pPr>
      <w:bookmarkStart w:name="heading_2" w:id="2"/>
      <w:r>
        <w:rPr>
          <w:rFonts w:eastAsia="等线" w:ascii="Arial" w:cs="Arial" w:hAnsi="Arial"/>
          <w:b w:val="true"/>
          <w:sz w:val="30"/>
        </w:rPr>
        <w:t>数据集统计与结构</w:t>
      </w:r>
      <w:bookmarkEnd w:id="2"/>
    </w:p>
    <w:p>
      <w:pPr>
        <w:spacing w:before="120" w:after="120" w:line="288" w:lineRule="auto"/>
        <w:ind w:left="453"/>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28pt;mso-width-percent:0;mso-height-percent:0;mso-width-percent:0;mso-height-percent:0" type="#_x0000_t75" o:ole="">
            <v:imagedata r:id="rId7" o:title=""/>
          </v:shape>
          <o:OLEObject DrawAspect="Icon" ObjectID="_1718471219" ProgID="Excel.Sheet.12" ShapeID="_x0000_i1025" Type="Embed" r:id="rId6"/>
        </w:object>
      </w:r>
    </w:p>
    <w:p>
      <w:pPr>
        <w:spacing w:after="120"/>
        <w:ind w:left="453"/>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bookmarkStart w:name="heading_3" w:id="3"/>
      <w:r>
        <w:rPr>
          <w:rFonts w:eastAsia="等线" w:ascii="Arial" w:cs="Arial" w:hAnsi="Arial"/>
          <w:b w:val="true"/>
          <w:sz w:val="30"/>
        </w:rPr>
        <w:t>总结</w:t>
      </w:r>
      <w:bookmarkEnd w:id="3"/>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tbl>
            <w:tblPr>
              <w:tblW w:w="0" w:type="auto"/>
              <w:tblInd w:w="0" w:type="dxa"/>
              <w:tblBorders>
                <w:top w:val="single" w:color=""/>
                <w:left w:val="single" w:color=""/>
                <w:bottom w:val="single" w:color=""/>
                <w:right w:val="single" w:color=""/>
                <w:insideH w:val="single" w:color=""/>
                <w:insideV w:val="single" w:color=""/>
              </w:tblBorders>
              <w:tblLayout w:type="fixed"/>
            </w:tblPr>
            <w:tblGrid>
              <w:gridCol w:w="3900"/>
            </w:tblGrid>
            <w:tr>
              <w:tc>
                <w:tcPr>
                  <w:tcW w:w="3900" w:type="dxa"/>
                  <w:shd w:color="auto" w:val="clear" w:fill="f0f4ff"/>
                  <w:tcMar>
                    <w:top w:type="dxa" w:w="60"/>
                    <w:left w:type="dxa" w:w="120"/>
                    <w:bottom w:type="dxa" w:w="30"/>
                    <w:right w:type="dxa" w:w="120"/>
                  </w:tcMar>
                </w:tcPr>
                <w:p>
                  <w:pPr>
                    <w:pStyle w:val="2"/>
                    <w:spacing w:before="320" w:after="120" w:line="288" w:lineRule="auto"/>
                    <w:ind w:left="0"/>
                    <w:jc w:val="left"/>
                    <w:outlineLvl w:val="1"/>
                  </w:pPr>
                  <w:bookmarkStart w:name="heading_4" w:id="4"/>
                  <w:r>
                    <w:rPr>
                      <w:rFonts w:eastAsia="等线" w:ascii="Arial" w:cs="Arial" w:hAnsi="Arial"/>
                      <w:b w:val="true"/>
                      <w:color w:val="245bdb"/>
                      <w:sz w:val="32"/>
                    </w:rPr>
                    <w:t>优点</w:t>
                  </w:r>
                  <w:bookmarkEnd w:id="4"/>
                </w:p>
              </w:tc>
            </w:tr>
          </w:tbl>
          <w:p/>
        </w:tc>
        <w:tc>
          <w:tcPr>
            <w:tcW w:w="4140" w:type="dxa"/>
            <w:tcMar>
              <w:top w:type="dxa" w:w="60"/>
              <w:left w:type="dxa" w:w="120"/>
              <w:bottom w:type="dxa" w:w="30"/>
              <w:right w:type="dxa" w:w="120"/>
            </w:tcMar>
          </w:tcPr>
          <w:tbl>
            <w:tblPr>
              <w:tblW w:w="0" w:type="auto"/>
              <w:tblInd w:w="0" w:type="dxa"/>
              <w:tblBorders>
                <w:top w:val="single" w:color=""/>
                <w:left w:val="single" w:color=""/>
                <w:bottom w:val="single" w:color=""/>
                <w:right w:val="single" w:color=""/>
                <w:insideH w:val="single" w:color=""/>
                <w:insideV w:val="single" w:color=""/>
              </w:tblBorders>
              <w:tblLayout w:type="fixed"/>
            </w:tblPr>
            <w:tblGrid>
              <w:gridCol w:w="3900"/>
            </w:tblGrid>
            <w:tr>
              <w:tc>
                <w:tcPr>
                  <w:tcW w:w="3900" w:type="dxa"/>
                  <w:shd w:color="auto" w:val="clear" w:fill="f0fbef"/>
                  <w:tcMar>
                    <w:top w:type="dxa" w:w="60"/>
                    <w:left w:type="dxa" w:w="120"/>
                    <w:bottom w:type="dxa" w:w="30"/>
                    <w:right w:type="dxa" w:w="120"/>
                  </w:tcMar>
                </w:tcPr>
                <w:p>
                  <w:pPr>
                    <w:pStyle w:val="2"/>
                    <w:spacing w:before="320" w:after="120" w:line="288" w:lineRule="auto"/>
                    <w:ind w:left="0"/>
                    <w:jc w:val="left"/>
                    <w:outlineLvl w:val="1"/>
                  </w:pPr>
                  <w:bookmarkStart w:name="heading_5" w:id="5"/>
                  <w:r>
                    <w:rPr>
                      <w:rFonts w:eastAsia="等线" w:ascii="Arial" w:cs="Arial" w:hAnsi="Arial"/>
                      <w:b w:val="true"/>
                      <w:color w:val="2ea121"/>
                      <w:sz w:val="32"/>
                    </w:rPr>
                    <w:t>不足</w:t>
                  </w:r>
                  <w:bookmarkEnd w:id="5"/>
                </w:p>
              </w:tc>
            </w:tr>
          </w:tbl>
          <w:p/>
        </w:tc>
      </w:tr>
    </w:tbl>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numPr>
                <w:numId w:val="9"/>
              </w:numPr>
              <w:spacing w:before="120" w:after="120" w:line="288" w:lineRule="auto"/>
              <w:ind w:left="0"/>
              <w:jc w:val="left"/>
            </w:pPr>
            <w:r>
              <w:rPr>
                <w:rFonts w:eastAsia="等线" w:ascii="Arial" w:cs="Arial" w:hAnsi="Arial"/>
                <w:sz w:val="22"/>
              </w:rPr>
              <w:t>概念转化：</w:t>
              <w:br/>
            </w:r>
            <w:r>
              <w:rPr>
                <w:rFonts w:eastAsia="等线" w:ascii="Arial" w:cs="Arial" w:hAnsi="Arial"/>
                <w:sz w:val="22"/>
              </w:rPr>
              <w:t>将心理学中的"态度根源"映射到学术审稿场景，用审稿方面和论文章节分别代理态度根源和主题。</w:t>
            </w:r>
          </w:p>
          <w:p>
            <w:pPr>
              <w:numPr>
                <w:numId w:val="10"/>
              </w:numPr>
              <w:spacing w:before="120" w:after="120" w:line="288" w:lineRule="auto"/>
              <w:ind w:left="0"/>
              <w:jc w:val="left"/>
            </w:pPr>
            <w:r>
              <w:rPr>
                <w:rFonts w:eastAsia="等线" w:ascii="Arial" w:cs="Arial" w:hAnsi="Arial"/>
                <w:sz w:val="22"/>
              </w:rPr>
              <w:t>领域自适应：</w:t>
              <w:br/>
            </w:r>
            <w:r>
              <w:rPr>
                <w:rFonts w:eastAsia="等线" w:ascii="Arial" w:cs="Arial" w:hAnsi="Arial"/>
                <w:sz w:val="22"/>
              </w:rPr>
              <w:t>通过MLM任务在审稿数据上继续预训练语言模型（如</w:t>
            </w:r>
            <w:r>
              <w:rPr>
                <w:rFonts w:eastAsia="Consolas" w:ascii="Consolas" w:cs="Consolas" w:hAnsi="Consolas"/>
                <w:sz w:val="22"/>
                <w:shd w:fill="EFF0F1"/>
              </w:rPr>
              <w:t>SciBERT_ds_neg</w:t>
            </w:r>
            <w:r>
              <w:rPr>
                <w:rFonts w:eastAsia="等线" w:ascii="Arial" w:cs="Arial" w:hAnsi="Arial"/>
                <w:sz w:val="22"/>
              </w:rPr>
              <w:t>），提升主题分类效果。</w:t>
            </w:r>
          </w:p>
          <w:p>
            <w:pPr>
              <w:numPr>
                <w:numId w:val="11"/>
              </w:numPr>
              <w:spacing w:before="120" w:after="120" w:line="288" w:lineRule="auto"/>
              <w:ind w:left="0"/>
              <w:jc w:val="left"/>
            </w:pPr>
            <w:r>
              <w:rPr>
                <w:rFonts w:eastAsia="等线" w:ascii="Arial" w:cs="Arial" w:hAnsi="Arial"/>
                <w:sz w:val="22"/>
              </w:rPr>
              <w:t>混合筛选策略：</w:t>
              <w:br/>
            </w:r>
            <w:r>
              <w:rPr>
                <w:rFonts w:eastAsia="等线" w:ascii="Arial" w:cs="Arial" w:hAnsi="Arial"/>
                <w:sz w:val="22"/>
              </w:rPr>
              <w:t>结合自动分类器粗筛与人工偏好标注细筛，最终用图排序算法提取典型反驳。</w:t>
            </w:r>
          </w:p>
          <w:p>
            <w:pPr>
              <w:spacing w:before="120" w:after="120" w:line="288" w:lineRule="auto"/>
              <w:ind w:left="0"/>
              <w:jc w:val="left"/>
            </w:pPr>
          </w:p>
        </w:tc>
        <w:tc>
          <w:tcPr>
            <w:tcW w:w="4140" w:type="dxa"/>
            <w:tcMar>
              <w:top w:type="dxa" w:w="60"/>
              <w:left w:type="dxa" w:w="120"/>
              <w:bottom w:type="dxa" w:w="30"/>
              <w:right w:type="dxa" w:w="120"/>
            </w:tcMar>
          </w:tcPr>
          <w:p>
            <w:pPr>
              <w:numPr>
                <w:numId w:val="12"/>
              </w:numPr>
              <w:spacing w:before="120" w:after="120" w:line="288" w:lineRule="auto"/>
              <w:ind w:left="0"/>
              <w:jc w:val="left"/>
            </w:pPr>
            <w:r>
              <w:rPr>
                <w:rFonts w:eastAsia="等线" w:ascii="Arial" w:cs="Arial" w:hAnsi="Arial"/>
                <w:i w:val="true"/>
                <w:sz w:val="22"/>
              </w:rPr>
              <w:t>数据仅来自ICLR，未覆盖自然科学或人文学科</w:t>
            </w:r>
          </w:p>
          <w:p>
            <w:pPr>
              <w:numPr>
                <w:numId w:val="13"/>
              </w:numPr>
              <w:spacing w:before="120" w:after="120" w:line="288" w:lineRule="auto"/>
              <w:ind w:left="0"/>
              <w:jc w:val="left"/>
            </w:pPr>
            <w:r>
              <w:rPr>
                <w:rFonts w:eastAsia="等线" w:ascii="Arial" w:cs="Arial" w:hAnsi="Arial"/>
                <w:i w:val="true"/>
                <w:sz w:val="22"/>
              </w:rPr>
              <w:t>稀疏映射：并非所有审稿句都有对应典型反驳，原始数据有缺失</w:t>
            </w:r>
          </w:p>
          <w:p>
            <w:pPr>
              <w:numPr>
                <w:numId w:val="14"/>
              </w:numPr>
              <w:spacing w:before="120" w:after="120" w:line="288" w:lineRule="auto"/>
              <w:ind w:left="0"/>
              <w:jc w:val="left"/>
            </w:pPr>
            <w:r>
              <w:rPr>
                <w:rFonts w:eastAsia="等线" w:ascii="Arial" w:cs="Arial" w:hAnsi="Arial"/>
                <w:sz w:val="22"/>
              </w:rPr>
              <w:t>论文"Limitations"部分提到，典型反驳作为模板需人工细化，需要避免直接替代人类写作</w:t>
            </w:r>
          </w:p>
          <w:p>
            <w:pPr>
              <w:pStyle w:val="4"/>
              <w:spacing w:before="260" w:after="120" w:line="288" w:lineRule="auto"/>
              <w:ind w:left="0"/>
              <w:jc w:val="left"/>
              <w:outlineLvl w:val="3"/>
            </w:pPr>
            <w:bookmarkStart w:name="heading_6" w:id="6"/>
            <w:bookmarkEnd w:id="6"/>
          </w:p>
          <w:p>
            <w:pPr>
              <w:spacing w:before="120" w:after="120" w:line="288" w:lineRule="auto"/>
              <w:ind w:left="0"/>
              <w:jc w:val="left"/>
            </w:pPr>
          </w:p>
        </w:tc>
      </w:tr>
    </w:tbl>
    <w:p>
      <w:pPr>
        <w:pStyle w:val="2"/>
        <w:spacing w:before="320" w:after="120" w:line="288" w:lineRule="auto"/>
        <w:ind w:left="0"/>
        <w:jc w:val="left"/>
        <w:outlineLvl w:val="1"/>
      </w:pPr>
      <w:bookmarkStart w:name="heading_7" w:id="7"/>
      <w:r>
        <w:rPr>
          <w:rFonts w:eastAsia="等线" w:ascii="Arial" w:cs="Arial" w:hAnsi="Arial"/>
          <w:b w:val="true"/>
          <w:sz w:val="32"/>
        </w:rPr>
        <w:t xml:space="preserve">1.2 </w:t>
      </w:r>
      <w:r>
        <w:rPr>
          <w:rFonts w:eastAsia="等线" w:ascii="Arial" w:cs="Arial" w:hAnsi="Arial"/>
          <w:b w:val="true"/>
          <w:sz w:val="32"/>
        </w:rPr>
      </w:r>
      <m:oMath xmlns:m="http://schemas.openxmlformats.org/officeDocument/2006/math" xmlns:mml="http://www.w3.org/1998/Math/MathML">
        <m:r>
          <w:rPr>
            <w:rFonts w:ascii="Cambria Math" w:hAnsi="Cambria Math"/>
          </w:rPr>
          <m:t>R</m:t>
        </m:r>
        <m:sSup>
          <m:e>
            <m:r>
              <w:rPr>
                <w:rFonts w:ascii="Cambria Math" w:hAnsi="Cambria Math"/>
              </w:rPr>
              <m:t>e</m:t>
            </m:r>
          </m:e>
          <m:sup>
            <m:r>
              <w:rPr>
                <w:rFonts w:ascii="Cambria Math" w:hAnsi="Cambria Math"/>
              </w:rPr>
              <m:t>2</m:t>
            </m:r>
          </m:sup>
        </m:sSup>
      </m:oMath>
      <w:r>
        <w:rPr>
          <w:rFonts w:eastAsia="等线" w:ascii="Arial" w:cs="Arial" w:hAnsi="Arial"/>
          <w:b w:val="true"/>
          <w:sz w:val="32"/>
        </w:rPr>
        <w:t>:</w:t>
      </w:r>
      <w:hyperlink r:id="rId8">
        <w:r>
          <w:rPr>
            <w:rFonts w:eastAsia="等线" w:ascii="Arial" w:cs="Arial" w:hAnsi="Arial"/>
            <w:b w:val="true"/>
            <w:color w:val="3370ff"/>
            <w:sz w:val="32"/>
          </w:rPr>
          <w:t>A Consistency-ensured Dataset for Full-stage Peer Review and Multi-turn Rebuttal Discussions</w:t>
        </w:r>
      </w:hyperlink>
      <w:bookmarkEnd w:id="7"/>
    </w:p>
    <w:p>
      <w:pPr>
        <w:spacing w:before="120" w:after="120" w:line="288" w:lineRule="auto"/>
        <w:ind w:left="0"/>
        <w:jc w:val="left"/>
      </w:pPr>
      <w:r>
        <w:rPr>
          <w:rFonts w:eastAsia="等线" w:ascii="Arial" w:cs="Arial" w:hAnsi="Arial"/>
          <w:sz w:val="22"/>
        </w:rPr>
        <w:t>原文摘要：同行评审是AI等领域科学进步的关键环节，但提交量的激增使得评审系统不堪重负，这不可避免地导致了评审人员短缺和评审质量下降。除了研究热度持续攀升外，造成这种超负荷的另一个关键因素是不合格稿件的重复提交，这很大程度上源于作者在投稿前缺乏有效的工具进行自我评估。大语言模型 (LLMs) 在协助作者和评审人员方面展现出巨大潜力，但其性能从根本上受限于同行评审数据的质量。然而，现有的同行评审数据集面临三大局限：</w:t>
      </w:r>
    </w:p>
    <w:p>
      <w:pPr>
        <w:spacing w:before="120" w:after="120" w:line="288" w:lineRule="auto"/>
        <w:ind w:left="0"/>
        <w:jc w:val="left"/>
      </w:pPr>
      <w:r>
        <w:rPr>
          <w:rFonts w:eastAsia="等线" w:ascii="Arial" w:cs="Arial" w:hAnsi="Arial"/>
          <w:sz w:val="22"/>
        </w:rPr>
        <w:t>1.数据多样性有限；2.由于使用的是修订后版本而非初始投稿，导致数据不一致且质量较低；3.对涉及反驳及评审人-作者互动的任务支持不足。</w:t>
      </w:r>
    </w:p>
    <w:p>
      <w:pPr>
        <w:spacing w:before="120" w:after="120" w:line="288" w:lineRule="auto"/>
        <w:ind w:left="0"/>
        <w:jc w:val="left"/>
      </w:pPr>
      <w:r>
        <w:rPr>
          <w:rFonts w:eastAsia="等线" w:ascii="Arial" w:cs="Arial" w:hAnsi="Arial"/>
          <w:sz w:val="22"/>
        </w:rPr>
        <w:t>为应对这些挑战，我们推出了最大规模且确保一致性的同行评审与反驳数据集——Re²。该数据集包含来自OpenReview平台上24个会议和21个研讨会的 19,926份初始投稿、70,668条评审意见以及53,818份反驳。此外，我们将反驳和讨论阶段构建为多轮对话范式，旨在支持传统的静态评审任务以及动态交互式LLM助手，从而为作者优化稿件提供更具实践性的指导，并有助于缓解日益增长的评审负担。</w:t>
      </w:r>
    </w:p>
    <w:p>
      <w:pPr>
        <w:spacing w:before="120" w:after="120" w:line="288" w:lineRule="auto"/>
        <w:ind w:left="0"/>
        <w:jc w:val="left"/>
      </w:pPr>
      <w:hyperlink r:id="rId9">
        <w:r>
          <w:rPr>
            <w:rFonts w:eastAsia="等线" w:ascii="Arial" w:cs="Arial" w:hAnsi="Arial"/>
            <w:color w:val="3370ff"/>
            <w:sz w:val="22"/>
          </w:rPr>
          <w:t>A Dataset of Peer Reviews (PeerRead): Collection, Insights and NLP Applications</w:t>
        </w:r>
      </w:hyperlink>
      <w:r>
        <w:rPr>
          <w:rFonts w:eastAsia="等线" w:ascii="Arial" w:cs="Arial" w:hAnsi="Arial"/>
          <w:sz w:val="22"/>
        </w:rPr>
        <w:t>这是peer read v1</w:t>
      </w:r>
    </w:p>
    <w:p>
      <w:pPr>
        <w:spacing w:before="120" w:after="120" w:line="288" w:lineRule="auto"/>
        <w:ind w:left="0"/>
        <w:jc w:val="left"/>
      </w:pPr>
      <w:r>
        <w:rPr>
          <w:rFonts w:eastAsia="等线" w:ascii="Arial" w:cs="Arial" w:hAnsi="Arial"/>
          <w:sz w:val="22"/>
        </w:rPr>
        <w:t>他们根据这篇文章提出了peer read v2</w:t>
      </w:r>
    </w:p>
    <w:p>
      <w:pPr>
        <w:numPr>
          <w:numId w:val="15"/>
        </w:numPr>
        <w:spacing w:before="120" w:after="120" w:line="288" w:lineRule="auto"/>
        <w:ind w:left="0"/>
        <w:jc w:val="left"/>
      </w:pPr>
      <w:r>
        <w:rPr>
          <w:rFonts w:eastAsia="等线" w:ascii="Arial" w:cs="Arial" w:hAnsi="Arial"/>
          <w:sz w:val="22"/>
        </w:rPr>
        <w:t>从 PeerRead v1 的约 14,000 篇增长到 ~100,000 篇。</w:t>
      </w:r>
    </w:p>
    <w:p>
      <w:pPr>
        <w:numPr>
          <w:numId w:val="16"/>
        </w:numPr>
        <w:spacing w:before="120" w:after="120" w:line="288" w:lineRule="auto"/>
        <w:ind w:left="0"/>
        <w:jc w:val="left"/>
      </w:pPr>
      <w:r>
        <w:rPr>
          <w:rFonts w:eastAsia="等线" w:ascii="Arial" w:cs="Arial" w:hAnsi="Arial"/>
          <w:sz w:val="22"/>
        </w:rPr>
        <w:t>从 PeerRead v1 的约 4,000 条增长到 ~170,000 条。</w:t>
      </w:r>
    </w:p>
    <w:p>
      <w:pPr>
        <w:numPr>
          <w:numId w:val="17"/>
        </w:numPr>
        <w:spacing w:before="120" w:after="120" w:line="288" w:lineRule="auto"/>
        <w:ind w:left="0"/>
        <w:jc w:val="left"/>
      </w:pPr>
      <w:r>
        <w:rPr>
          <w:rFonts w:eastAsia="等线" w:ascii="Arial" w:cs="Arial" w:hAnsi="Arial"/>
          <w:sz w:val="22"/>
        </w:rPr>
        <w:t>覆盖范围45个学术活动，远超 v1 仅覆盖 3 个会议的范围。</w:t>
      </w:r>
    </w:p>
    <w:p>
      <w:pPr>
        <w:pStyle w:val="3"/>
        <w:spacing w:before="300" w:after="120" w:line="288" w:lineRule="auto"/>
        <w:ind w:left="0"/>
        <w:jc w:val="left"/>
        <w:outlineLvl w:val="2"/>
      </w:pPr>
      <w:bookmarkStart w:name="heading_8" w:id="8"/>
      <w:r>
        <w:rPr>
          <w:rFonts w:eastAsia="等线" w:ascii="Arial" w:cs="Arial" w:hAnsi="Arial"/>
          <w:b w:val="true"/>
          <w:sz w:val="30"/>
        </w:rPr>
        <w:t>数据来源</w:t>
      </w:r>
      <w:bookmarkEnd w:id="8"/>
    </w:p>
    <w:p>
      <w:pPr>
        <w:numPr>
          <w:numId w:val="18"/>
        </w:numPr>
        <w:spacing w:before="120" w:after="120" w:line="288" w:lineRule="auto"/>
        <w:ind w:left="0"/>
        <w:jc w:val="left"/>
      </w:pPr>
      <w:r>
        <w:rPr>
          <w:rFonts w:eastAsia="等线" w:ascii="Arial" w:cs="Arial" w:hAnsi="Arial"/>
          <w:sz w:val="22"/>
        </w:rPr>
        <w:t>从OpenReview爬取 24个会议与21个研讨会，远超现有数据集比如如PeerRead仅14,700篇论文，无反驳数据</w:t>
      </w:r>
    </w:p>
    <w:p>
      <w:pPr>
        <w:numPr>
          <w:numId w:val="19"/>
        </w:numPr>
        <w:spacing w:before="120" w:after="120" w:line="288" w:lineRule="auto"/>
        <w:ind w:left="0"/>
        <w:jc w:val="left"/>
      </w:pPr>
      <w:r>
        <w:rPr>
          <w:rFonts w:eastAsia="等线" w:ascii="Arial" w:cs="Arial" w:hAnsi="Arial"/>
          <w:sz w:val="22"/>
        </w:rPr>
        <w:t>初始投稿获取方式</w:t>
      </w:r>
    </w:p>
    <w:p>
      <w:pPr>
        <w:numPr>
          <w:numId w:val="20"/>
        </w:numPr>
        <w:spacing w:before="120" w:after="120" w:line="288" w:lineRule="auto"/>
        <w:ind w:left="453"/>
        <w:jc w:val="left"/>
      </w:pPr>
      <w:r>
        <w:rPr>
          <w:rFonts w:eastAsia="等线" w:ascii="Arial" w:cs="Arial" w:hAnsi="Arial"/>
          <w:sz w:val="22"/>
        </w:rPr>
        <w:t>（1）通过会议截稿日期确定初始提交时间</w:t>
      </w:r>
    </w:p>
    <w:p>
      <w:pPr>
        <w:numPr>
          <w:numId w:val="21"/>
        </w:numPr>
        <w:spacing w:before="120" w:after="120" w:line="288" w:lineRule="auto"/>
        <w:ind w:left="453"/>
        <w:jc w:val="left"/>
      </w:pPr>
      <w:r>
        <w:rPr>
          <w:rFonts w:eastAsia="等线" w:ascii="Arial" w:cs="Arial" w:hAnsi="Arial"/>
          <w:sz w:val="22"/>
        </w:rPr>
        <w:t>（2）从论文修订历史中提取截稿前最新版本</w:t>
      </w:r>
    </w:p>
    <w:p>
      <w:pPr>
        <w:numPr>
          <w:numId w:val="22"/>
        </w:numPr>
        <w:spacing w:before="120" w:after="120" w:line="288" w:lineRule="auto"/>
        <w:ind w:left="453"/>
        <w:jc w:val="left"/>
      </w:pPr>
      <w:r>
        <w:rPr>
          <w:rFonts w:eastAsia="等线" w:ascii="Arial" w:cs="Arial" w:hAnsi="Arial"/>
          <w:sz w:val="22"/>
        </w:rPr>
        <w:t xml:space="preserve">  使用商用工具Doc2X保障公式识别精度，PDF转纯文本</w:t>
      </w:r>
    </w:p>
    <w:p>
      <w:pPr>
        <w:numPr>
          <w:numId w:val="23"/>
        </w:numPr>
        <w:spacing w:before="120" w:after="120" w:line="288" w:lineRule="auto"/>
        <w:ind w:left="0"/>
        <w:jc w:val="left"/>
      </w:pPr>
      <w:r>
        <w:rPr>
          <w:rFonts w:eastAsia="等线" w:ascii="Arial" w:cs="Arial" w:hAnsi="Arial"/>
          <w:sz w:val="22"/>
        </w:rPr>
        <w:t>关键技术挑战：</w:t>
      </w:r>
    </w:p>
    <w:p>
      <w:pPr>
        <w:numPr>
          <w:numId w:val="24"/>
        </w:numPr>
        <w:spacing w:before="120" w:after="120" w:line="288" w:lineRule="auto"/>
        <w:ind w:left="453"/>
        <w:jc w:val="left"/>
      </w:pPr>
      <w:r>
        <w:rPr>
          <w:rFonts w:eastAsia="等线" w:ascii="Arial" w:cs="Arial" w:hAnsi="Arial"/>
          <w:sz w:val="22"/>
        </w:rPr>
        <w:t>作者/审稿人的多次连续回复合并为单轮对话</w:t>
      </w:r>
    </w:p>
    <w:p>
      <w:pPr>
        <w:numPr>
          <w:numId w:val="25"/>
        </w:numPr>
        <w:spacing w:before="120" w:after="120" w:line="288" w:lineRule="auto"/>
        <w:ind w:left="453"/>
        <w:jc w:val="left"/>
      </w:pPr>
      <w:r>
        <w:rPr>
          <w:rFonts w:eastAsia="等线" w:ascii="Arial" w:cs="Arial" w:hAnsi="Arial"/>
          <w:sz w:val="22"/>
        </w:rPr>
        <w:t>针对多位审稿人的相似问题，将全局回复插入对话流</w:t>
      </w:r>
    </w:p>
    <w:p>
      <w:pPr>
        <w:numPr>
          <w:numId w:val="26"/>
        </w:numPr>
        <w:spacing w:before="120" w:after="120" w:line="288" w:lineRule="auto"/>
        <w:ind w:left="453"/>
        <w:jc w:val="left"/>
      </w:pPr>
      <w:r>
        <w:rPr>
          <w:rFonts w:eastAsia="等线" w:ascii="Arial" w:cs="Arial" w:hAnsi="Arial"/>
          <w:sz w:val="22"/>
        </w:rPr>
        <w:t>混合人工与自动化方法剔除催促类回复，比如请审稿人回复</w:t>
      </w:r>
    </w:p>
    <w:p>
      <w:pPr>
        <w:numPr>
          <w:numId w:val="27"/>
        </w:numPr>
        <w:spacing w:before="120" w:after="120" w:line="288" w:lineRule="auto"/>
        <w:ind w:left="453"/>
        <w:jc w:val="left"/>
      </w:pPr>
      <w:r>
        <w:rPr>
          <w:rFonts w:eastAsia="等线" w:ascii="Arial" w:cs="Arial" w:hAnsi="Arial"/>
          <w:sz w:val="22"/>
        </w:rPr>
        <w:t>结构化多轮对话，支持动态交互式LLM训练。</w:t>
      </w:r>
    </w:p>
    <w:p>
      <w:pPr>
        <w:spacing w:before="120" w:after="120" w:line="288" w:lineRule="auto"/>
        <w:ind w:left="453"/>
      </w:pPr>
      <w:r>
        <w:object>
          <v:shape id="_x0000_i1026" style="width:414pt;height:197pt;mso-width-percent:0;mso-height-percent:0;mso-width-percent:0;mso-height-percent:0" type="#_x0000_t75" o:ole="">
            <v:imagedata r:id="rId11" o:title=""/>
          </v:shape>
          <o:OLEObject DrawAspect="Icon" ObjectID="_1718471220" ProgID="Excel.Sheet.12" ShapeID="_x0000_i1026" Type="Embed" r:id="rId10"/>
        </w:object>
      </w:r>
    </w:p>
    <w:p>
      <w:pPr>
        <w:spacing w:after="120"/>
        <w:ind w:left="453"/>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一些insight：</w:t>
      </w:r>
    </w:p>
    <w:p>
      <w:pPr>
        <w:numPr>
          <w:numId w:val="28"/>
        </w:numPr>
        <w:spacing w:before="120" w:after="120" w:line="288" w:lineRule="auto"/>
        <w:ind w:left="0"/>
        <w:jc w:val="left"/>
      </w:pPr>
      <w:r>
        <w:rPr>
          <w:rFonts w:eastAsia="等线" w:ascii="Arial" w:cs="Arial" w:hAnsi="Arial"/>
          <w:sz w:val="22"/>
        </w:rPr>
        <w:t>反驳对话任务中，模型在准确性和建设性表现最佳</w:t>
      </w:r>
    </w:p>
    <w:p>
      <w:pPr>
        <w:numPr>
          <w:numId w:val="29"/>
        </w:numPr>
        <w:spacing w:before="120" w:after="120" w:line="288" w:lineRule="auto"/>
        <w:ind w:left="0"/>
        <w:jc w:val="left"/>
      </w:pPr>
      <w:r>
        <w:rPr>
          <w:rFonts w:eastAsia="等线" w:ascii="Arial" w:cs="Arial" w:hAnsi="Arial"/>
          <w:sz w:val="22"/>
        </w:rPr>
        <w:t>零样本LLM倾向讨好作者</w:t>
      </w:r>
    </w:p>
    <w:p>
      <w:pPr>
        <w:numPr>
          <w:numId w:val="30"/>
        </w:numPr>
        <w:spacing w:before="120" w:after="120" w:line="288" w:lineRule="auto"/>
        <w:ind w:left="0"/>
        <w:jc w:val="left"/>
      </w:pPr>
      <w:r>
        <w:rPr>
          <w:rFonts w:eastAsia="等线" w:ascii="Arial" w:cs="Arial" w:hAnsi="Arial"/>
          <w:sz w:val="22"/>
        </w:rPr>
        <w:t>专用模型过于严格，评分均过低</w:t>
      </w:r>
    </w:p>
    <w:p>
      <w:pPr>
        <w:pStyle w:val="3"/>
        <w:spacing w:before="300" w:after="120" w:line="288" w:lineRule="auto"/>
        <w:ind w:left="0"/>
        <w:jc w:val="left"/>
        <w:outlineLvl w:val="2"/>
      </w:pPr>
      <w:bookmarkStart w:name="heading_9" w:id="9"/>
      <w:r>
        <w:rPr>
          <w:rFonts w:eastAsia="等线" w:ascii="Arial" w:cs="Arial" w:hAnsi="Arial"/>
          <w:b w:val="true"/>
          <w:sz w:val="30"/>
        </w:rPr>
        <w:t>局限</w:t>
      </w:r>
      <w:bookmarkEnd w:id="9"/>
    </w:p>
    <w:p>
      <w:pPr>
        <w:spacing w:before="120" w:after="120" w:line="288" w:lineRule="auto"/>
        <w:ind w:left="0"/>
        <w:jc w:val="left"/>
      </w:pPr>
      <w:r>
        <w:rPr>
          <w:rFonts w:eastAsia="等线" w:ascii="Arial" w:cs="Arial" w:hAnsi="Arial"/>
          <w:sz w:val="22"/>
        </w:rPr>
        <w:t>仅处理文本内容，未整合图表等多模态信息</w:t>
      </w:r>
    </w:p>
    <w:p>
      <w:pPr>
        <w:pStyle w:val="3"/>
        <w:spacing w:before="300" w:after="120" w:line="288" w:lineRule="auto"/>
        <w:ind w:left="0"/>
        <w:jc w:val="left"/>
        <w:outlineLvl w:val="2"/>
      </w:pPr>
      <w:bookmarkStart w:name="heading_10" w:id="10"/>
      <w:r>
        <w:rPr>
          <w:rFonts w:eastAsia="等线" w:ascii="Arial" w:cs="Arial" w:hAnsi="Arial"/>
          <w:b w:val="true"/>
          <w:sz w:val="30"/>
        </w:rPr>
        <w:t>注意点</w:t>
      </w:r>
      <w:bookmarkEnd w:id="10"/>
    </w:p>
    <w:p>
      <w:pPr>
        <w:numPr>
          <w:numId w:val="31"/>
        </w:numPr>
        <w:spacing w:before="120" w:after="120" w:line="288" w:lineRule="auto"/>
        <w:ind w:left="0"/>
        <w:jc w:val="left"/>
      </w:pPr>
      <w:r>
        <w:rPr>
          <w:rFonts w:eastAsia="等线" w:ascii="Arial" w:cs="Arial" w:hAnsi="Arial"/>
          <w:sz w:val="22"/>
        </w:rPr>
        <w:t>需要处理不同会议使用的不同评审模板和格式，将其解析成结构化字段</w:t>
      </w:r>
    </w:p>
    <w:p>
      <w:pPr>
        <w:numPr>
          <w:numId w:val="32"/>
        </w:numPr>
        <w:spacing w:before="120" w:after="120" w:line="288" w:lineRule="auto"/>
        <w:ind w:left="0"/>
        <w:jc w:val="left"/>
      </w:pPr>
      <w:r>
        <w:rPr>
          <w:rFonts w:eastAsia="等线" w:ascii="Arial" w:cs="Arial" w:hAnsi="Arial"/>
          <w:sz w:val="22"/>
        </w:rPr>
        <w:t>对于双盲评审，评审人身份已匿名化。</w:t>
      </w:r>
    </w:p>
    <w:p>
      <w:pPr>
        <w:numPr>
          <w:numId w:val="33"/>
        </w:numPr>
        <w:spacing w:before="120" w:after="120" w:line="288" w:lineRule="auto"/>
        <w:ind w:left="0"/>
        <w:jc w:val="left"/>
      </w:pPr>
      <w:r>
        <w:rPr>
          <w:rFonts w:eastAsia="等线" w:ascii="Arial" w:cs="Arial" w:hAnsi="Arial"/>
          <w:sz w:val="22"/>
        </w:rPr>
        <w:t>遵循了 OpenReview 的使用条款，要求实验数据是公开可获取的</w:t>
      </w:r>
    </w:p>
    <w:p>
      <w:pPr>
        <w:numPr>
          <w:numId w:val="34"/>
        </w:numPr>
        <w:spacing w:before="120" w:after="120" w:line="288" w:lineRule="auto"/>
        <w:ind w:left="0"/>
        <w:jc w:val="left"/>
      </w:pPr>
      <w:r>
        <w:rPr>
          <w:rFonts w:eastAsia="等线" w:ascii="Arial" w:cs="Arial" w:hAnsi="Arial"/>
          <w:sz w:val="22"/>
        </w:rPr>
        <w:t>并非所有评审都是同等质量的。有些评审可能简短、无建设性，甚至带有偏见</w:t>
      </w:r>
    </w:p>
    <w:p>
      <w:pPr>
        <w:pStyle w:val="2"/>
        <w:spacing w:before="320" w:after="120" w:line="288" w:lineRule="auto"/>
        <w:ind w:left="0"/>
        <w:jc w:val="left"/>
        <w:outlineLvl w:val="1"/>
      </w:pPr>
      <w:bookmarkStart w:name="heading_11" w:id="11"/>
      <w:r>
        <w:rPr>
          <w:rFonts w:eastAsia="等线" w:ascii="Arial" w:cs="Arial" w:hAnsi="Arial"/>
          <w:b w:val="true"/>
          <w:sz w:val="32"/>
        </w:rPr>
        <w:t xml:space="preserve">1.3 </w:t>
      </w:r>
      <w:hyperlink r:id="rId12">
        <w:r>
          <w:rPr>
            <w:rFonts w:eastAsia="等线" w:ascii="Arial" w:cs="Arial" w:hAnsi="Arial"/>
            <w:b w:val="true"/>
            <w:color w:val="3370ff"/>
            <w:sz w:val="32"/>
            <w:u w:val="single"/>
          </w:rPr>
          <w:t>APE: Argument Pair Extraction from Peer Review and Rebuttal via Multi-task Learning</w:t>
        </w:r>
      </w:hyperlink>
      <w:bookmarkEnd w:id="11"/>
    </w:p>
    <w:p>
      <w:pPr>
        <w:spacing w:before="120" w:after="120" w:line="288" w:lineRule="auto"/>
        <w:ind w:left="0"/>
        <w:jc w:val="left"/>
      </w:pPr>
      <w:r>
        <w:rPr>
          <w:rFonts w:eastAsia="等线" w:ascii="Arial" w:cs="Arial" w:hAnsi="Arial"/>
          <w:sz w:val="22"/>
        </w:rPr>
        <w:t>原文摘要：同行评审及其间的反驳环节，伴随着丰富的互动和论证性讨论，天然是挖掘论点的优质资源。然而，同时研究两者的工作却寥寥无几。本文中，我们针对同行评审和反驳环节，引入了一项新的论点对提取（Argument Pair Extraction, APE）任务，旨在研究其内容、结构以及两者之间的关联。为支持该任务研究，我们构建了一个具有挑战性的数据集，其中包含来自一个开放评审平台的 4,764 对经过完整标注的评审-反驳段落对。为从该语料库中自动检测论证性命题并提取论点对，我们将此任务建模为一个序列标注任务和一个文本关系分类任务的组合。基于此，我们提出了一个基于分层LSTM网络的多任务学习框架。广泛的实验与分析证明了我们多任务框架的有效性，同时也揭示了这项新任务的挑战性，并为未来研究提供了方向。</w:t>
      </w:r>
    </w:p>
    <w:p>
      <w:pPr>
        <w:numPr>
          <w:numId w:val="35"/>
        </w:numPr>
        <w:spacing w:before="120" w:after="120" w:line="288" w:lineRule="auto"/>
        <w:ind w:left="0"/>
        <w:jc w:val="left"/>
      </w:pPr>
      <w:r>
        <w:rPr>
          <w:rFonts w:eastAsia="等线" w:ascii="Arial" w:cs="Arial" w:hAnsi="Arial"/>
          <w:sz w:val="22"/>
        </w:rPr>
        <w:t>同行评审中的反驳阶段蕴含丰富的论辩结构，但现有研究多聚焦单文本论元挖掘，忽视审稿-反驳的互动性。</w:t>
      </w:r>
    </w:p>
    <w:p>
      <w:pPr>
        <w:numPr>
          <w:numId w:val="36"/>
        </w:numPr>
        <w:spacing w:before="120" w:after="120" w:line="288" w:lineRule="auto"/>
        <w:ind w:left="0"/>
        <w:jc w:val="left"/>
      </w:pPr>
      <w:r>
        <w:rPr>
          <w:rFonts w:eastAsia="等线" w:ascii="Arial" w:cs="Arial" w:hAnsi="Arial"/>
          <w:sz w:val="22"/>
        </w:rPr>
        <w:t>学术场景的论元对提取可应用于：</w:t>
        <w:br/>
        <w:t>(1) 自动检查作者是否回应所有评审意见；</w:t>
        <w:br/>
        <w:t>(2) 构建论辩知识库优化审稿流程；</w:t>
        <w:br/>
      </w:r>
      <w:r>
        <w:rPr>
          <w:rFonts w:eastAsia="等线" w:ascii="Arial" w:cs="Arial" w:hAnsi="Arial"/>
          <w:sz w:val="22"/>
        </w:rPr>
        <w:t>(3) 为对话式审稿系统提供基础支撑。</w:t>
      </w:r>
    </w:p>
    <w:p>
      <w:pPr>
        <w:pStyle w:val="4"/>
        <w:spacing w:before="260" w:after="120" w:line="288" w:lineRule="auto"/>
        <w:ind w:left="0"/>
        <w:jc w:val="left"/>
        <w:outlineLvl w:val="3"/>
      </w:pPr>
      <w:bookmarkStart w:name="heading_12" w:id="12"/>
      <w:r>
        <w:rPr>
          <w:rFonts w:eastAsia="等线" w:ascii="Arial" w:cs="Arial" w:hAnsi="Arial"/>
          <w:b w:val="true"/>
          <w:sz w:val="28"/>
        </w:rPr>
        <w:t>数据收集与标注</w:t>
      </w:r>
      <w:bookmarkEnd w:id="12"/>
    </w:p>
    <w:p>
      <w:pPr>
        <w:numPr>
          <w:numId w:val="37"/>
        </w:numPr>
        <w:spacing w:before="120" w:after="120" w:line="288" w:lineRule="auto"/>
        <w:ind w:left="0"/>
        <w:jc w:val="left"/>
      </w:pPr>
      <w:r>
        <w:rPr>
          <w:rFonts w:eastAsia="等线" w:ascii="Arial" w:cs="Arial" w:hAnsi="Arial"/>
          <w:sz w:val="22"/>
        </w:rPr>
        <w:t>OpenReview 平台上的 ICLR 会议，覆盖 4,764组 审稿-反驳段落对。</w:t>
      </w:r>
    </w:p>
    <w:p>
      <w:pPr>
        <w:numPr>
          <w:numId w:val="38"/>
        </w:numPr>
        <w:spacing w:before="120" w:after="120" w:line="288" w:lineRule="auto"/>
        <w:ind w:left="0"/>
        <w:jc w:val="left"/>
      </w:pPr>
      <w:r>
        <w:rPr>
          <w:rFonts w:eastAsia="等线" w:ascii="Arial" w:cs="Arial" w:hAnsi="Arial"/>
          <w:sz w:val="22"/>
        </w:rPr>
        <w:t>为审稿论元分配索引，在反驳中标记对应回应的索引</w:t>
      </w:r>
    </w:p>
    <w:p>
      <w:pPr>
        <w:numPr>
          <w:numId w:val="39"/>
        </w:numPr>
        <w:spacing w:before="120" w:after="120" w:line="288" w:lineRule="auto"/>
        <w:ind w:left="0"/>
        <w:jc w:val="left"/>
      </w:pPr>
      <w:r>
        <w:rPr>
          <w:rFonts w:eastAsia="等线" w:ascii="Arial" w:cs="Arial" w:hAnsi="Arial"/>
          <w:sz w:val="22"/>
        </w:rPr>
        <w:t>5名专业标注员，标注准确率 98.4%</w:t>
      </w:r>
    </w:p>
    <w:p>
      <w:pPr>
        <w:numPr>
          <w:numId w:val="40"/>
        </w:numPr>
        <w:spacing w:before="120" w:after="120" w:line="288" w:lineRule="auto"/>
        <w:ind w:left="0"/>
        <w:jc w:val="left"/>
      </w:pPr>
      <w:r>
        <w:rPr>
          <w:rFonts w:eastAsia="等线" w:ascii="Arial" w:cs="Arial" w:hAnsi="Arial"/>
          <w:sz w:val="22"/>
        </w:rPr>
        <w:t>按结构清晰度划分难度：</w:t>
      </w:r>
    </w:p>
    <w:p>
      <w:pPr>
        <w:numPr>
          <w:numId w:val="41"/>
        </w:numPr>
        <w:spacing w:before="120" w:after="120" w:line="288" w:lineRule="auto"/>
        <w:ind w:left="453"/>
        <w:jc w:val="left"/>
      </w:pPr>
      <w:r>
        <w:rPr>
          <w:rFonts w:eastAsia="等线" w:ascii="Arial" w:cs="Arial" w:hAnsi="Arial"/>
          <w:sz w:val="22"/>
        </w:rPr>
        <w:t>Easy（65.5%）：反驳直接引用审稿内容或有明确分隔符（如换行、编号）。</w:t>
      </w:r>
    </w:p>
    <w:p>
      <w:pPr>
        <w:numPr>
          <w:numId w:val="42"/>
        </w:numPr>
        <w:spacing w:before="120" w:after="120" w:line="288" w:lineRule="auto"/>
        <w:ind w:left="453"/>
        <w:jc w:val="left"/>
      </w:pPr>
      <w:r>
        <w:rPr>
          <w:rFonts w:eastAsia="等线" w:ascii="Arial" w:cs="Arial" w:hAnsi="Arial"/>
          <w:sz w:val="22"/>
        </w:rPr>
        <w:t>Difficult（29%）：需深度理解语义才能对齐论元。</w:t>
      </w:r>
    </w:p>
    <w:p>
      <w:pPr>
        <w:numPr>
          <w:numId w:val="43"/>
        </w:numPr>
        <w:spacing w:before="120" w:after="120" w:line="288" w:lineRule="auto"/>
        <w:ind w:left="453"/>
        <w:jc w:val="left"/>
      </w:pPr>
      <w:r>
        <w:rPr>
          <w:rFonts w:eastAsia="等线" w:ascii="Arial" w:cs="Arial" w:hAnsi="Arial"/>
          <w:sz w:val="22"/>
        </w:rPr>
        <w:t>无有效论元对（5.5%）：泛泛回应（如“感谢意见，我们会改进”）。</w:t>
      </w:r>
    </w:p>
    <w:p>
      <w:pPr>
        <w:pStyle w:val="3"/>
        <w:spacing w:before="300" w:after="120" w:line="288" w:lineRule="auto"/>
        <w:ind w:left="0"/>
        <w:jc w:val="left"/>
        <w:outlineLvl w:val="2"/>
      </w:pPr>
      <w:bookmarkStart w:name="heading_13" w:id="13"/>
      <w:r>
        <w:rPr>
          <w:rFonts w:eastAsia="等线" w:ascii="Arial" w:cs="Arial" w:hAnsi="Arial"/>
          <w:b w:val="true"/>
          <w:sz w:val="30"/>
        </w:rPr>
        <w:t>insight</w:t>
      </w:r>
      <w:bookmarkEnd w:id="13"/>
    </w:p>
    <w:p>
      <w:pPr>
        <w:numPr>
          <w:numId w:val="44"/>
        </w:numPr>
        <w:spacing w:before="120" w:after="120" w:line="288" w:lineRule="auto"/>
        <w:ind w:left="0"/>
        <w:jc w:val="left"/>
      </w:pPr>
      <w:r>
        <w:rPr>
          <w:rFonts w:eastAsia="等线" w:ascii="Arial" w:cs="Arial" w:hAnsi="Arial"/>
          <w:sz w:val="22"/>
        </w:rPr>
        <w:t>反驳的论元更长、更密集</w:t>
      </w:r>
    </w:p>
    <w:p>
      <w:pPr>
        <w:numPr>
          <w:numId w:val="45"/>
        </w:numPr>
        <w:spacing w:before="120" w:after="120" w:line="288" w:lineRule="auto"/>
        <w:ind w:left="0"/>
        <w:jc w:val="left"/>
      </w:pPr>
      <w:r>
        <w:rPr>
          <w:rFonts w:eastAsia="等线" w:ascii="Arial" w:cs="Arial" w:hAnsi="Arial"/>
          <w:sz w:val="22"/>
        </w:rPr>
        <w:t>论元对词汇重叠率极低，说明任务依赖深层语义推理而非表面词匹配。</w:t>
      </w:r>
    </w:p>
    <w:p>
      <w:pPr>
        <w:pStyle w:val="3"/>
        <w:spacing w:before="300" w:after="120" w:line="288" w:lineRule="auto"/>
        <w:ind w:left="0"/>
        <w:jc w:val="left"/>
        <w:outlineLvl w:val="2"/>
      </w:pPr>
      <w:bookmarkStart w:name="heading_14" w:id="14"/>
      <w:r>
        <w:rPr>
          <w:rFonts w:eastAsia="等线" w:ascii="Arial" w:cs="Arial" w:hAnsi="Arial"/>
          <w:b w:val="true"/>
          <w:sz w:val="30"/>
        </w:rPr>
        <w:t>创新点</w:t>
      </w:r>
      <w:bookmarkEnd w:id="14"/>
    </w:p>
    <w:p>
      <w:pPr>
        <w:spacing w:before="120" w:after="120" w:line="288" w:lineRule="auto"/>
        <w:ind w:left="0"/>
        <w:jc w:val="left"/>
      </w:pPr>
      <w:r>
        <w:rPr>
          <w:rFonts w:eastAsia="等线" w:ascii="Arial" w:cs="Arial" w:hAnsi="Arial"/>
          <w:sz w:val="22"/>
        </w:rPr>
        <w:t>提出 MT-H-LSTM-CRF 框架，联合学习两个子任务：</w:t>
      </w:r>
    </w:p>
    <w:p>
      <w:pPr>
        <w:numPr>
          <w:numId w:val="46"/>
        </w:numPr>
        <w:spacing w:before="120" w:after="120" w:line="288" w:lineRule="auto"/>
        <w:ind w:left="0"/>
        <w:jc w:val="left"/>
      </w:pPr>
      <w:r>
        <w:rPr>
          <w:rFonts w:eastAsia="等线" w:ascii="Arial" w:cs="Arial" w:hAnsi="Arial"/>
          <w:sz w:val="22"/>
        </w:rPr>
        <w:t>论元挖掘（序列标注）：</w:t>
      </w:r>
    </w:p>
    <w:p>
      <w:pPr>
        <w:numPr>
          <w:numId w:val="47"/>
        </w:numPr>
        <w:spacing w:before="120" w:after="120" w:line="288" w:lineRule="auto"/>
        <w:ind w:left="453"/>
        <w:jc w:val="left"/>
      </w:pPr>
      <w:r>
        <w:rPr>
          <w:rFonts w:eastAsia="等线" w:ascii="Arial" w:cs="Arial" w:hAnsi="Arial"/>
          <w:sz w:val="22"/>
        </w:rPr>
        <w:t>输入：审稿+反驳句子序列</w:t>
      </w:r>
    </w:p>
    <w:p>
      <w:pPr>
        <w:numPr>
          <w:numId w:val="48"/>
        </w:numPr>
        <w:spacing w:before="120" w:after="120" w:line="288" w:lineRule="auto"/>
        <w:ind w:left="453"/>
        <w:jc w:val="left"/>
      </w:pPr>
      <w:r>
        <w:rPr>
          <w:rFonts w:eastAsia="等线" w:ascii="Arial" w:cs="Arial" w:hAnsi="Arial"/>
          <w:sz w:val="22"/>
        </w:rPr>
        <w:t>输出：IOBES标签（标注论元边界）</w:t>
      </w:r>
    </w:p>
    <w:p>
      <w:pPr>
        <w:numPr>
          <w:numId w:val="49"/>
        </w:numPr>
        <w:spacing w:before="120" w:after="120" w:line="288" w:lineRule="auto"/>
        <w:ind w:left="453"/>
        <w:jc w:val="left"/>
      </w:pPr>
      <w:r>
        <w:rPr>
          <w:rFonts w:eastAsia="等线" w:ascii="Arial" w:cs="Arial" w:hAnsi="Arial"/>
          <w:sz w:val="22"/>
        </w:rPr>
        <w:t>BERT词嵌入 → Token-BiLSTM → Sentence-BiLSTM → CRF</w:t>
      </w:r>
    </w:p>
    <w:p>
      <w:pPr>
        <w:numPr>
          <w:numId w:val="50"/>
        </w:numPr>
        <w:spacing w:before="120" w:after="120" w:line="288" w:lineRule="auto"/>
        <w:ind w:left="0"/>
        <w:jc w:val="left"/>
      </w:pPr>
      <w:r>
        <w:rPr>
          <w:rFonts w:eastAsia="等线" w:ascii="Arial" w:cs="Arial" w:hAnsi="Arial"/>
          <w:sz w:val="22"/>
        </w:rPr>
        <w:t>句子对齐（二分类）：</w:t>
      </w:r>
    </w:p>
    <w:p>
      <w:pPr>
        <w:numPr>
          <w:numId w:val="51"/>
        </w:numPr>
        <w:spacing w:before="120" w:after="120" w:line="288" w:lineRule="auto"/>
        <w:ind w:left="453"/>
        <w:jc w:val="left"/>
      </w:pPr>
      <w:r>
        <w:rPr>
          <w:rFonts w:eastAsia="等线" w:ascii="Arial" w:cs="Arial" w:hAnsi="Arial"/>
          <w:sz w:val="22"/>
        </w:rPr>
        <w:t>输入：审稿句与反驳句的表示向量</w:t>
      </w:r>
    </w:p>
    <w:p>
      <w:pPr>
        <w:numPr>
          <w:numId w:val="52"/>
        </w:numPr>
        <w:spacing w:before="120" w:after="120" w:line="288" w:lineRule="auto"/>
        <w:ind w:left="453"/>
        <w:jc w:val="left"/>
      </w:pPr>
      <w:r>
        <w:rPr>
          <w:rFonts w:eastAsia="等线" w:ascii="Arial" w:cs="Arial" w:hAnsi="Arial"/>
          <w:sz w:val="22"/>
        </w:rPr>
        <w:t>输出：是否构成论元对</w:t>
      </w:r>
    </w:p>
    <w:p>
      <w:pPr>
        <w:numPr>
          <w:numId w:val="53"/>
        </w:numPr>
        <w:spacing w:before="120" w:after="120" w:line="288" w:lineRule="auto"/>
        <w:ind w:left="453"/>
        <w:jc w:val="left"/>
      </w:pPr>
      <w:r>
        <w:rPr>
          <w:rFonts w:eastAsia="等线" w:ascii="Arial" w:cs="Arial" w:hAnsi="Arial"/>
          <w:sz w:val="22"/>
        </w:rPr>
        <w:t>共享Sentence-BiLSTM输出 → 句对表示求和 → 三层线性层分类</w:t>
      </w:r>
    </w:p>
    <w:p>
      <w:pPr>
        <w:spacing w:before="120" w:after="120" w:line="288" w:lineRule="auto"/>
        <w:ind w:left="0"/>
        <w:jc w:val="left"/>
      </w:pPr>
      <w:r>
        <w:rPr>
          <w:rFonts w:eastAsia="等线" w:ascii="Arial" w:cs="Arial" w:hAnsi="Arial"/>
          <w:sz w:val="22"/>
        </w:rPr>
        <w:t>基于LSTM而非Transformer，可能限制长距离依赖建模能力。</w:t>
      </w:r>
    </w:p>
    <w:p>
      <w:pPr>
        <w:pStyle w:val="2"/>
        <w:spacing w:before="320" w:after="120" w:line="288" w:lineRule="auto"/>
        <w:ind w:left="0"/>
        <w:jc w:val="left"/>
        <w:outlineLvl w:val="1"/>
      </w:pPr>
      <w:bookmarkStart w:name="heading_15" w:id="15"/>
      <w:r>
        <w:rPr>
          <w:rFonts w:eastAsia="等线" w:ascii="Arial" w:cs="Arial" w:hAnsi="Arial"/>
          <w:b w:val="true"/>
          <w:sz w:val="32"/>
        </w:rPr>
        <w:t xml:space="preserve">1.4 </w:t>
      </w:r>
      <w:hyperlink r:id="rId13">
        <w:r>
          <w:rPr>
            <w:rFonts w:eastAsia="等线" w:ascii="Arial" w:cs="Arial" w:hAnsi="Arial"/>
            <w:b w:val="true"/>
            <w:color w:val="3370ff"/>
            <w:sz w:val="32"/>
          </w:rPr>
          <w:t>Incorporating peer reviewsand rebuttal counter-arguments for meta-review generation.</w:t>
        </w:r>
      </w:hyperlink>
      <w:bookmarkEnd w:id="15"/>
    </w:p>
    <w:p>
      <w:pPr>
        <w:spacing w:before="120" w:after="120" w:line="288" w:lineRule="auto"/>
        <w:ind w:left="0"/>
        <w:jc w:val="left"/>
      </w:pPr>
      <w:r>
        <w:rPr>
          <w:rFonts w:eastAsia="等线" w:ascii="Arial" w:cs="Arial" w:hAnsi="Arial"/>
          <w:sz w:val="22"/>
        </w:rPr>
        <w:t>原文摘要：同行评审是科学过程中的关键环节，研究论文需由多位评审人进行评估。在大多数顶级会议中设立的作者反驳阶段，为作者提供了针对评审意见为其工作进行辩护的机会。评审人指出的优缺点以及作者的回应，将由领域主席进行评估。最终决定通常会附带说明接受/拒绝理由的元评审。先前研究已探索使用基于Transformer的摘要模型生成元评审。然而，这些研究大多未充分考虑反驳内容本身以及评审意见与反驳论点之间的互动，而其中论据的说服力对最终决定具有重要影响。为生成能够有效整合评审人观点与作者回应、内容全面的元评审，我们提出了一种新颖的生成模型。该模型能够显式地建模复杂的论证结构，不仅涵盖评审人与作者之间的论点交锋，还包括审稿人内部的讨论。实验结果表明，在自动评估和人工评估两方面，我们的模型均优于基线方法，验证了所提方法的有效性。</w:t>
      </w:r>
    </w:p>
    <w:p>
      <w:pPr>
        <w:numPr>
          <w:numId w:val="54"/>
        </w:numPr>
        <w:spacing w:before="120" w:after="120" w:line="288" w:lineRule="auto"/>
        <w:ind w:left="0"/>
        <w:jc w:val="left"/>
      </w:pPr>
      <w:r>
        <w:rPr>
          <w:rFonts w:eastAsia="等线" w:ascii="Arial" w:cs="Arial" w:hAnsi="Arial"/>
          <w:sz w:val="22"/>
        </w:rPr>
        <w:t>采用端到端模型（MLMC）从评审-反驳对中提取ADU及其关系（表2 F1=54.15%）。</w:t>
      </w:r>
    </w:p>
    <w:p>
      <w:pPr>
        <w:numPr>
          <w:numId w:val="55"/>
        </w:numPr>
        <w:spacing w:before="120" w:after="120" w:line="288" w:lineRule="auto"/>
        <w:ind w:left="0"/>
        <w:jc w:val="left"/>
      </w:pPr>
      <w:r>
        <w:rPr>
          <w:rFonts w:eastAsia="等线" w:ascii="Arial" w:cs="Arial" w:hAnsi="Arial"/>
          <w:sz w:val="22"/>
        </w:rPr>
        <w:t>引入方面类型标注​（Aspect Typology）：利用8类学术维度（如创新性、严谨性）增强ADU提取（F1提升至72.21%）</w:t>
      </w:r>
    </w:p>
    <w:p>
      <w:pPr>
        <w:pStyle w:val="4"/>
        <w:spacing w:before="260" w:after="120" w:line="288" w:lineRule="auto"/>
        <w:ind w:left="0"/>
        <w:jc w:val="left"/>
        <w:outlineLvl w:val="3"/>
      </w:pPr>
      <w:bookmarkStart w:name="heading_16" w:id="16"/>
      <w:r>
        <w:rPr>
          <w:rFonts w:eastAsia="等线" w:ascii="Arial" w:cs="Arial" w:hAnsi="Arial"/>
          <w:b w:val="true"/>
          <w:sz w:val="28"/>
        </w:rPr>
        <w:t>数据集构建（PRRCA Dataset）​</w:t>
      </w:r>
      <w:bookmarkEnd w:id="16"/>
    </w:p>
    <w:p>
      <w:pPr>
        <w:numPr>
          <w:numId w:val="56"/>
        </w:numPr>
        <w:spacing w:before="120" w:after="120" w:line="288" w:lineRule="auto"/>
        <w:ind w:left="0"/>
        <w:jc w:val="left"/>
      </w:pPr>
      <w:r>
        <w:rPr>
          <w:rFonts w:eastAsia="等线" w:ascii="Arial" w:cs="Arial" w:hAnsi="Arial"/>
          <w:sz w:val="22"/>
        </w:rPr>
        <w:t>OpenReview.net</w:t>
      </w:r>
      <w:r>
        <w:rPr>
          <w:rFonts w:eastAsia="等线" w:ascii="Arial" w:cs="Arial" w:hAnsi="Arial"/>
          <w:sz w:val="22"/>
        </w:rPr>
        <w:t>上ICLR 2017-2021的7,627篇投稿</w:t>
      </w:r>
    </w:p>
    <w:p>
      <w:pPr>
        <w:numPr>
          <w:numId w:val="57"/>
        </w:numPr>
        <w:spacing w:before="120" w:after="120" w:line="288" w:lineRule="auto"/>
        <w:ind w:left="0"/>
        <w:jc w:val="left"/>
      </w:pPr>
      <w:r>
        <w:rPr>
          <w:rFonts w:eastAsia="等线" w:ascii="Arial" w:cs="Arial" w:hAnsi="Arial"/>
          <w:sz w:val="22"/>
        </w:rPr>
        <w:t>包含25,316条评审-反驳对</w:t>
      </w:r>
    </w:p>
    <w:p>
      <w:pPr>
        <w:numPr>
          <w:numId w:val="58"/>
        </w:numPr>
        <w:spacing w:before="120" w:after="120" w:line="288" w:lineRule="auto"/>
        <w:ind w:left="0"/>
        <w:jc w:val="left"/>
      </w:pPr>
      <w:r>
        <w:rPr>
          <w:rFonts w:eastAsia="等线" w:ascii="Arial" w:cs="Arial" w:hAnsi="Arial"/>
          <w:sz w:val="22"/>
        </w:rPr>
        <w:t>标注论证结构和句子级方面类型</w:t>
      </w:r>
    </w:p>
    <w:p>
      <w:pPr>
        <w:numPr>
          <w:numId w:val="59"/>
        </w:numPr>
        <w:spacing w:before="120" w:after="120" w:line="288" w:lineRule="auto"/>
        <w:ind w:left="0"/>
        <w:jc w:val="left"/>
      </w:pPr>
      <w:r>
        <w:rPr>
          <w:rFonts w:eastAsia="等线" w:ascii="Arial" w:cs="Arial" w:hAnsi="Arial"/>
          <w:sz w:val="22"/>
        </w:rPr>
        <w:t>平均元评审长度152.5词，输入文本超长</w:t>
      </w:r>
    </w:p>
    <w:p>
      <w:pPr>
        <w:spacing w:before="120" w:after="120" w:line="288" w:lineRule="auto"/>
        <w:ind w:left="0"/>
        <w:jc w:val="left"/>
      </w:pPr>
      <w:r>
        <w:rPr>
          <w:rFonts w:eastAsia="等线" w:ascii="Arial" w:cs="Arial" w:hAnsi="Arial"/>
          <w:sz w:val="22"/>
        </w:rPr>
        <w:t>Insight</w:t>
      </w:r>
    </w:p>
    <w:p>
      <w:pPr>
        <w:numPr>
          <w:numId w:val="60"/>
        </w:numPr>
        <w:spacing w:before="120" w:after="120" w:line="288" w:lineRule="auto"/>
        <w:ind w:left="0"/>
        <w:jc w:val="left"/>
      </w:pPr>
      <w:r>
        <w:rPr>
          <w:rFonts w:eastAsia="等线" w:ascii="Arial" w:cs="Arial" w:hAnsi="Arial"/>
          <w:sz w:val="22"/>
        </w:rPr>
        <w:t>边界分数论文（4-6分）​​：反驳更长，元评审更详细，生成难度最大</w:t>
      </w:r>
    </w:p>
    <w:p>
      <w:pPr>
        <w:numPr>
          <w:numId w:val="61"/>
        </w:numPr>
        <w:spacing w:before="120" w:after="120" w:line="288" w:lineRule="auto"/>
        <w:ind w:left="0"/>
        <w:jc w:val="left"/>
      </w:pPr>
      <w:r>
        <w:rPr>
          <w:rFonts w:eastAsia="等线" w:ascii="Arial" w:cs="Arial" w:hAnsi="Arial"/>
          <w:sz w:val="22"/>
        </w:rPr>
        <w:t>评分分歧​​：高分歧论文接收率更低</w:t>
      </w:r>
    </w:p>
    <w:p>
      <w:pPr>
        <w:pStyle w:val="3"/>
        <w:spacing w:before="300" w:after="120" w:line="288" w:lineRule="auto"/>
        <w:ind w:left="0"/>
        <w:jc w:val="left"/>
        <w:outlineLvl w:val="2"/>
      </w:pPr>
      <w:bookmarkStart w:name="heading_17" w:id="17"/>
      <w:r>
        <w:rPr>
          <w:rFonts w:eastAsia="等线" w:ascii="Arial" w:cs="Arial" w:hAnsi="Arial"/>
          <w:b w:val="true"/>
          <w:sz w:val="30"/>
        </w:rPr>
        <w:t>图构建​：</w:t>
      </w:r>
      <w:bookmarkEnd w:id="17"/>
    </w:p>
    <w:p>
      <w:pPr>
        <w:numPr>
          <w:numId w:val="62"/>
        </w:numPr>
        <w:spacing w:before="120" w:after="120" w:line="288" w:lineRule="auto"/>
        <w:ind w:left="453"/>
        <w:jc w:val="left"/>
      </w:pPr>
      <w:r>
        <w:rPr>
          <w:rFonts w:eastAsia="等线" w:ascii="Arial" w:cs="Arial" w:hAnsi="Arial"/>
          <w:sz w:val="22"/>
        </w:rPr>
        <w:t>节点​：ADU（评审中的论证单元为绿色，反驳中的为黄色）</w:t>
      </w:r>
    </w:p>
    <w:p>
      <w:pPr>
        <w:numPr>
          <w:numId w:val="63"/>
        </w:numPr>
        <w:spacing w:before="120" w:after="120" w:line="288" w:lineRule="auto"/>
        <w:ind w:left="453"/>
        <w:jc w:val="left"/>
      </w:pPr>
      <w:r>
        <w:rPr>
          <w:rFonts w:eastAsia="等线" w:ascii="Arial" w:cs="Arial" w:hAnsi="Arial"/>
          <w:sz w:val="22"/>
        </w:rPr>
        <w:t>边​​：三层关系（文档内红色、讨论内蓝色、跨讨论绿色）</w:t>
      </w:r>
    </w:p>
    <w:p>
      <w:pPr>
        <w:numPr>
          <w:numId w:val="64"/>
        </w:numPr>
        <w:spacing w:before="120" w:after="120" w:line="288" w:lineRule="auto"/>
        <w:ind w:left="453"/>
        <w:jc w:val="left"/>
      </w:pPr>
      <w:r>
        <w:rPr>
          <w:rFonts w:eastAsia="等线" w:ascii="Arial" w:cs="Arial" w:hAnsi="Arial"/>
          <w:sz w:val="22"/>
        </w:rPr>
        <w:t>图增强​：添加自环、反向边和超级节点以提升连通性。</w:t>
      </w:r>
    </w:p>
    <w:p>
      <w:pPr>
        <w:pStyle w:val="2"/>
        <w:spacing w:before="320" w:after="120" w:line="288" w:lineRule="auto"/>
        <w:ind w:left="0"/>
        <w:jc w:val="left"/>
        <w:outlineLvl w:val="1"/>
      </w:pPr>
      <w:bookmarkStart w:name="heading_18" w:id="18"/>
      <w:r>
        <w:rPr>
          <w:rFonts w:eastAsia="等线" w:ascii="Arial" w:cs="Arial" w:hAnsi="Arial"/>
          <w:b w:val="true"/>
          <w:sz w:val="32"/>
        </w:rPr>
        <w:t xml:space="preserve">1.5 </w:t>
      </w:r>
      <w:hyperlink r:id="rId14">
        <w:r>
          <w:rPr>
            <w:rFonts w:eastAsia="等线" w:ascii="Arial" w:cs="Arial" w:hAnsi="Arial"/>
            <w:b w:val="true"/>
            <w:color w:val="3370ff"/>
            <w:sz w:val="32"/>
          </w:rPr>
          <w:t>Does my rebuttal matter? insights from a major nlp conference.</w:t>
        </w:r>
      </w:hyperlink>
      <w:bookmarkEnd w:id="18"/>
    </w:p>
    <w:p>
      <w:pPr>
        <w:spacing w:before="120" w:after="120" w:line="288" w:lineRule="auto"/>
        <w:ind w:left="0"/>
        <w:jc w:val="left"/>
      </w:pPr>
      <w:r>
        <w:rPr>
          <w:rFonts w:eastAsia="等线" w:ascii="Arial" w:cs="Arial" w:hAnsi="Arial"/>
          <w:sz w:val="22"/>
        </w:rPr>
        <w:t>原文摘要：同行评审是科学过程的核心要素，在以会议为中心的领域（如机器学习ML和自然语言处理NLP）中尤其如此。然而，目前仅有少数研究对其特性进行了实证评估。为填补这一空白，我们构建了一个包含来自ACL-2018会议的4000余份评审意见和1200余份作者回应的语料库。我们对该语料库进行了定量和定性评估。这包括对评审人指出的论文弱点以及作者回应质量的初步分析。随后，我们聚焦于反驳阶段的作用，并提出了一项新颖的任务：基于初始评审意见和作者回应，预测反驳后（即最终）的评分。尽管作者回应确实对最终评分具有有限但显著的影响（尤其在边界论文上），但我们的结果表明，评审人的最终评分很大程度上由其初始评分及其与其他评审人初始评分的差异所决定。在此背景下，我们探讨了同行评审中固有的从众偏差，这一偏差在先前研究中长期被忽视。我们希望我们的分析将有助于更好地评估NLP会议中反驳阶段的有效性。</w:t>
      </w:r>
    </w:p>
    <w:p>
      <w:pPr>
        <w:pStyle w:val="3"/>
        <w:spacing w:before="300" w:after="120" w:line="288" w:lineRule="auto"/>
        <w:ind w:left="0"/>
        <w:jc w:val="left"/>
        <w:outlineLvl w:val="2"/>
      </w:pPr>
      <w:bookmarkStart w:name="heading_19" w:id="19"/>
      <w:r>
        <w:rPr>
          <w:rFonts w:eastAsia="等线" w:ascii="Arial" w:cs="Arial" w:hAnsi="Arial"/>
          <w:b w:val="true"/>
          <w:sz w:val="30"/>
        </w:rPr>
        <w:t>数据集构建与特性</w:t>
      </w:r>
      <w:bookmarkEnd w:id="19"/>
    </w:p>
    <w:p>
      <w:pPr>
        <w:spacing w:before="120" w:after="120" w:line="288" w:lineRule="auto"/>
        <w:ind w:left="0"/>
        <w:jc w:val="left"/>
      </w:pPr>
      <w:r>
        <w:rPr>
          <w:rFonts w:eastAsia="等线" w:ascii="Arial" w:cs="Arial" w:hAnsi="Arial"/>
          <w:sz w:val="22"/>
        </w:rPr>
        <w:t>ACL-2018 Review Corpus包含4,054条评审（反驳前后完整记录）和1,227条作者反驳，覆盖1,542篇投稿（含接受/拒绝论文），是首个包含完整评审周期的NLP会议数据集</w:t>
      </w:r>
    </w:p>
    <w:p>
      <w:pPr>
        <w:pStyle w:val="3"/>
        <w:spacing w:before="300" w:after="120" w:line="288" w:lineRule="auto"/>
        <w:ind w:left="0"/>
        <w:jc w:val="left"/>
        <w:outlineLvl w:val="2"/>
      </w:pPr>
      <w:bookmarkStart w:name="heading_20" w:id="20"/>
      <w:r>
        <w:rPr>
          <w:rFonts w:eastAsia="等线" w:ascii="Arial" w:cs="Arial" w:hAnsi="Arial"/>
          <w:b w:val="true"/>
          <w:sz w:val="30"/>
        </w:rPr>
        <w:t>insight</w:t>
      </w:r>
      <w:bookmarkEnd w:id="20"/>
    </w:p>
    <w:p>
      <w:pPr>
        <w:numPr>
          <w:numId w:val="65"/>
        </w:numPr>
        <w:spacing w:before="120" w:after="120" w:line="288" w:lineRule="auto"/>
        <w:ind w:left="453"/>
        <w:jc w:val="left"/>
      </w:pPr>
      <w:r>
        <w:rPr>
          <w:rFonts w:eastAsia="等线" w:ascii="Arial" w:cs="Arial" w:hAnsi="Arial"/>
          <w:sz w:val="22"/>
        </w:rPr>
        <w:t>peer review评分均值差距是最大影响因素</w:t>
      </w:r>
    </w:p>
    <w:p>
      <w:pPr>
        <w:numPr>
          <w:numId w:val="66"/>
        </w:numPr>
        <w:spacing w:before="120" w:after="120" w:line="288" w:lineRule="auto"/>
        <w:ind w:left="453"/>
        <w:jc w:val="left"/>
      </w:pPr>
      <w:r>
        <w:rPr>
          <w:rFonts w:eastAsia="等线" w:ascii="Arial" w:cs="Arial" w:hAnsi="Arial"/>
          <w:sz w:val="22"/>
        </w:rPr>
        <w:t>文本特征仅在边缘论文中显著</w:t>
      </w:r>
    </w:p>
    <w:p>
      <w:pPr>
        <w:spacing w:before="120" w:after="120" w:line="288" w:lineRule="auto"/>
        <w:ind w:left="453"/>
        <w:jc w:val="center"/>
      </w:pPr>
      <w:r>
        <w:drawing>
          <wp:inline distT="0" distR="0" distB="0" distL="0">
            <wp:extent cx="3810000" cy="25336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5"/>
                    <a:stretch>
                      <a:fillRect/>
                    </a:stretch>
                  </pic:blipFill>
                  <pic:spPr>
                    <a:xfrm>
                      <a:off x="0" y="0"/>
                      <a:ext cx="3810000" cy="2533650"/>
                    </a:xfrm>
                    <a:prstGeom prst="rect">
                      <a:avLst/>
                    </a:prstGeom>
                  </pic:spPr>
                </pic:pic>
              </a:graphicData>
            </a:graphic>
          </wp:inline>
        </w:drawing>
      </w:r>
    </w:p>
    <w:p>
      <w:pPr>
        <w:numPr>
          <w:numId w:val="67"/>
        </w:numPr>
        <w:spacing w:before="120" w:after="120" w:line="288" w:lineRule="auto"/>
        <w:ind w:left="453"/>
        <w:jc w:val="left"/>
      </w:pPr>
      <w:r>
        <w:rPr>
          <w:rFonts w:eastAsia="等线" w:ascii="Arial" w:cs="Arial" w:hAnsi="Arial"/>
          <w:sz w:val="22"/>
        </w:rPr>
        <w:t>高礼貌降低DEC概率，但对INC无促进</w:t>
      </w:r>
    </w:p>
    <w:p>
      <w:pPr>
        <w:numPr>
          <w:numId w:val="68"/>
        </w:numPr>
        <w:spacing w:before="120" w:after="120" w:line="288" w:lineRule="auto"/>
        <w:ind w:left="453"/>
        <w:jc w:val="left"/>
      </w:pPr>
      <w:r>
        <w:rPr>
          <w:rFonts w:eastAsia="等线" w:ascii="Arial" w:cs="Arial" w:hAnsi="Arial"/>
          <w:sz w:val="22"/>
        </w:rPr>
        <w:t>高质量反驳可阻止降分，但难以推动升分</w:t>
      </w:r>
    </w:p>
    <w:p>
      <w:pPr>
        <w:numPr>
          <w:numId w:val="69"/>
        </w:numPr>
        <w:spacing w:before="120" w:after="120" w:line="288" w:lineRule="auto"/>
        <w:ind w:left="453"/>
        <w:jc w:val="left"/>
      </w:pPr>
      <w:r>
        <w:rPr>
          <w:rFonts w:eastAsia="等线" w:ascii="Arial" w:cs="Arial" w:hAnsi="Arial"/>
          <w:sz w:val="22"/>
        </w:rPr>
        <w:t>低质量反驳显著增加降分风险</w:t>
      </w:r>
    </w:p>
    <w:p>
      <w:pPr>
        <w:numPr>
          <w:numId w:val="70"/>
        </w:numPr>
        <w:spacing w:before="120" w:after="120" w:line="288" w:lineRule="auto"/>
        <w:ind w:left="453"/>
        <w:jc w:val="left"/>
      </w:pPr>
      <w:r>
        <w:rPr>
          <w:rFonts w:eastAsia="等线" w:ascii="Arial" w:cs="Arial" w:hAnsi="Arial"/>
          <w:sz w:val="22"/>
        </w:rPr>
        <w:t>评审者强烈趋向同侪评分均值，有从众倾向</w:t>
      </w:r>
    </w:p>
    <w:p>
      <w:pPr>
        <w:numPr>
          <w:numId w:val="71"/>
        </w:numPr>
        <w:spacing w:before="120" w:after="120" w:line="288" w:lineRule="auto"/>
        <w:ind w:left="453"/>
        <w:jc w:val="left"/>
      </w:pPr>
      <w:r>
        <w:rPr>
          <w:rFonts w:eastAsia="等线" w:ascii="Arial" w:cs="Arial" w:hAnsi="Arial"/>
          <w:sz w:val="22"/>
        </w:rPr>
        <w:t>早期提交的评审倾向给低分，后期更可能升分</w:t>
      </w:r>
    </w:p>
    <w:p>
      <w:pPr>
        <w:spacing w:before="120" w:after="120" w:line="288" w:lineRule="auto"/>
        <w:ind w:left="453"/>
        <w:jc w:val="center"/>
      </w:pPr>
      <w:r>
        <w:drawing>
          <wp:inline distT="0" distR="0" distB="0" distL="0">
            <wp:extent cx="4010025" cy="31908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16"/>
                    <a:stretch>
                      <a:fillRect/>
                    </a:stretch>
                  </pic:blipFill>
                  <pic:spPr>
                    <a:xfrm>
                      <a:off x="0" y="0"/>
                      <a:ext cx="4010025" cy="3190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局限：仅31%作者同意共享反驳，高接受率论文可能过采样</w:t>
      </w:r>
    </w:p>
    <w:p>
      <w:pPr>
        <w:pStyle w:val="2"/>
        <w:spacing w:before="320" w:after="120" w:line="288" w:lineRule="auto"/>
        <w:ind w:left="0"/>
        <w:jc w:val="left"/>
        <w:outlineLvl w:val="1"/>
      </w:pPr>
      <w:bookmarkStart w:name="heading_21" w:id="21"/>
      <w:r>
        <w:rPr>
          <w:rFonts w:eastAsia="等线" w:ascii="Arial" w:cs="Arial" w:hAnsi="Arial"/>
          <w:b w:val="true"/>
          <w:sz w:val="32"/>
        </w:rPr>
        <w:t xml:space="preserve">1.6 </w:t>
      </w:r>
      <w:hyperlink r:id="rId17">
        <w:r>
          <w:rPr>
            <w:rFonts w:eastAsia="等线" w:ascii="Arial" w:cs="Arial" w:hAnsi="Arial"/>
            <w:b w:val="true"/>
            <w:color w:val="3370ff"/>
            <w:sz w:val="32"/>
          </w:rPr>
          <w:t>What makes a successful rebuttal in computer science conferences?</w:t>
        </w:r>
      </w:hyperlink>
      <w:bookmarkEnd w:id="21"/>
    </w:p>
    <w:p>
      <w:pPr>
        <w:spacing w:before="120" w:after="120" w:line="288" w:lineRule="auto"/>
        <w:ind w:left="0"/>
        <w:jc w:val="left"/>
      </w:pPr>
      <w:r>
        <w:rPr>
          <w:rFonts w:eastAsia="等线" w:ascii="Arial" w:cs="Arial" w:hAnsi="Arial"/>
          <w:sz w:val="22"/>
        </w:rPr>
        <w:t>原文摘要：随着计算机科学顶会投稿量呈指数级增长，越来越多的会议在同行评审流程中引入了反驳阶段。该阶段可建模为作者与评审间的社会互动，成功的反驳通常能提升评审分数。本文基于ICLR 2022（顶级计算机科学会议）的3,000余篇论文和13,000余条评审开展实证研究，旨在识别成功反驳的核心影响因素。研究发现：反驳阶段前后的评审分数存在显著差异，这对论文录用具有决定性影响；通过符号化社交网络分析，首次揭示反驳后平衡网络结构比例显著提升​；提出并验证了五种可量化反驳策略，证明其有效提升评审分数；构建的机器学习预测模型融合社交动态、策略指标等特征，验证多因子联合预测效能。本研究首创"作者-评审"双视角分析框架，为基于社交网络的评审优化奠定理论基础。</w:t>
      </w:r>
    </w:p>
    <w:p>
      <w:pPr>
        <w:pStyle w:val="3"/>
        <w:spacing w:before="300" w:after="120" w:line="288" w:lineRule="auto"/>
        <w:ind w:left="0"/>
        <w:jc w:val="left"/>
        <w:outlineLvl w:val="2"/>
      </w:pPr>
      <w:bookmarkStart w:name="heading_22" w:id="22"/>
      <w:r>
        <w:rPr>
          <w:rFonts w:eastAsia="等线" w:ascii="Arial" w:cs="Arial" w:hAnsi="Arial"/>
          <w:b w:val="true"/>
          <w:sz w:val="30"/>
        </w:rPr>
        <w:t>方法论创新：签名社交网络分析（SSNA）​</w:t>
      </w:r>
      <w:bookmarkEnd w:id="22"/>
    </w:p>
    <w:p>
      <w:pPr>
        <w:spacing w:before="120" w:after="120" w:line="288" w:lineRule="auto"/>
        <w:ind w:left="0"/>
        <w:jc w:val="left"/>
      </w:pPr>
      <w:r>
        <w:rPr>
          <w:rFonts w:eastAsia="等线" w:ascii="Arial" w:cs="Arial" w:hAnsi="Arial"/>
          <w:sz w:val="22"/>
        </w:rPr>
        <w:t>将审稿人-作者互动建模为带符号网络（正/负链接=支持/反对），基于Heider平衡理论定义四类子图结构</w:t>
      </w:r>
    </w:p>
    <w:p>
      <w:pPr>
        <w:numPr>
          <w:numId w:val="72"/>
        </w:numPr>
        <w:spacing w:before="120" w:after="120" w:line="288" w:lineRule="auto"/>
        <w:ind w:left="453"/>
        <w:jc w:val="left"/>
      </w:pPr>
      <w:r>
        <w:rPr>
          <w:rFonts w:eastAsia="等线" w:ascii="Arial" w:cs="Arial" w:hAnsi="Arial"/>
          <w:sz w:val="22"/>
        </w:rPr>
        <w:t>不平衡结构：审稿人</w:t>
      </w:r>
      <w:r>
        <w:rPr>
          <w:rFonts w:eastAsia="等线" w:ascii="Arial" w:cs="Arial" w:hAnsi="Arial"/>
          <w:i w:val="true"/>
          <w:sz w:val="22"/>
        </w:rPr>
        <w:t>Ri</w:t>
      </w:r>
      <w:r>
        <w:rPr>
          <w:rFonts w:eastAsia="等线" w:ascii="Arial" w:cs="Arial" w:hAnsi="Arial"/>
          <w:sz w:val="22"/>
        </w:rPr>
        <w:t>与</w:t>
      </w:r>
      <w:r>
        <w:rPr>
          <w:rFonts w:eastAsia="等线" w:ascii="Arial" w:cs="Arial" w:hAnsi="Arial"/>
          <w:i w:val="true"/>
          <w:sz w:val="22"/>
        </w:rPr>
        <w:t>Rj</w:t>
      </w:r>
      <w:r>
        <w:rPr>
          <w:rFonts w:eastAsia="等线" w:ascii="Arial" w:cs="Arial" w:hAnsi="Arial"/>
          <w:sz w:val="22"/>
        </w:rPr>
        <w:t>意见相左且互斥</w:t>
      </w:r>
    </w:p>
    <w:p>
      <w:pPr>
        <w:numPr>
          <w:numId w:val="73"/>
        </w:numPr>
        <w:spacing w:before="120" w:after="120" w:line="288" w:lineRule="auto"/>
        <w:ind w:left="453"/>
        <w:jc w:val="left"/>
      </w:pPr>
      <w:r>
        <w:rPr>
          <w:rFonts w:eastAsia="等线" w:ascii="Arial" w:cs="Arial" w:hAnsi="Arial"/>
          <w:sz w:val="22"/>
        </w:rPr>
        <w:t>平衡结构​：</w:t>
      </w:r>
      <w:r>
        <w:rPr>
          <w:rFonts w:eastAsia="等线" w:ascii="Arial" w:cs="Arial" w:hAnsi="Arial"/>
          <w:i w:val="true"/>
          <w:sz w:val="22"/>
        </w:rPr>
        <w:t>Ri</w:t>
      </w:r>
      <w:r>
        <w:rPr>
          <w:rFonts w:eastAsia="等线" w:ascii="Arial" w:cs="Arial" w:hAnsi="Arial"/>
          <w:sz w:val="22"/>
        </w:rPr>
        <w:t>受其他审稿人压力而修改分数</w:t>
      </w:r>
    </w:p>
    <w:p>
      <w:pPr>
        <w:spacing w:before="120" w:after="120" w:line="288" w:lineRule="auto"/>
        <w:ind w:left="0"/>
        <w:jc w:val="left"/>
      </w:pPr>
      <w:r>
        <w:rPr>
          <w:rFonts w:eastAsia="等线" w:ascii="Arial" w:cs="Arial" w:hAnsi="Arial"/>
          <w:sz w:val="22"/>
        </w:rPr>
        <w:t>作者策略的量化验证表明，策略有效性排序​为充分回复 &gt; 保持礼貌 &gt; 建立共识 &gt; 引用文献</w:t>
      </w:r>
    </w:p>
    <w:p>
      <w:pPr>
        <w:pStyle w:val="3"/>
        <w:spacing w:before="300" w:after="120" w:line="288" w:lineRule="auto"/>
        <w:ind w:left="0"/>
        <w:jc w:val="left"/>
        <w:outlineLvl w:val="2"/>
      </w:pPr>
      <w:bookmarkStart w:name="heading_23" w:id="23"/>
      <w:r>
        <w:rPr>
          <w:rFonts w:eastAsia="等线" w:ascii="Arial" w:cs="Arial" w:hAnsi="Arial"/>
          <w:b w:val="true"/>
          <w:sz w:val="30"/>
        </w:rPr>
        <w:t>反驳成功预测模型</w:t>
      </w:r>
      <w:bookmarkEnd w:id="23"/>
    </w:p>
    <w:p>
      <w:pPr>
        <w:spacing w:before="120" w:after="120" w:line="288" w:lineRule="auto"/>
        <w:ind w:left="0"/>
        <w:jc w:val="left"/>
      </w:pPr>
      <w:r>
        <w:rPr>
          <w:rFonts w:eastAsia="等线" w:ascii="Arial" w:cs="Arial" w:hAnsi="Arial"/>
          <w:sz w:val="22"/>
        </w:rPr>
        <w:t>多因子机器学习模型</w:t>
      </w:r>
    </w:p>
    <w:p>
      <w:pPr>
        <w:numPr>
          <w:numId w:val="74"/>
        </w:numPr>
        <w:spacing w:before="120" w:after="120" w:line="288" w:lineRule="auto"/>
        <w:ind w:left="453"/>
        <w:jc w:val="left"/>
      </w:pPr>
      <w:r>
        <w:rPr>
          <w:rFonts w:eastAsia="等线" w:ascii="Arial" w:cs="Arial" w:hAnsi="Arial"/>
          <w:sz w:val="22"/>
        </w:rPr>
        <w:t>同伴效应特征​（</w:t>
      </w:r>
      <w:r>
        <w:rPr>
          <w:rFonts w:eastAsia="等线" w:ascii="Arial" w:cs="Arial" w:hAnsi="Arial"/>
          <w:i w:val="true"/>
          <w:sz w:val="22"/>
        </w:rPr>
        <w:t>Xp</w:t>
      </w:r>
      <w:r>
        <w:rPr>
          <w:rFonts w:eastAsia="等线" w:ascii="Arial" w:cs="Arial" w:hAnsi="Arial"/>
          <w:sz w:val="22"/>
        </w:rPr>
        <w:t>）：其他审稿人分数统计量（max/min/mean等）+ 平衡子图数量</w:t>
      </w:r>
    </w:p>
    <w:p>
      <w:pPr>
        <w:numPr>
          <w:numId w:val="75"/>
        </w:numPr>
        <w:spacing w:before="120" w:after="120" w:line="288" w:lineRule="auto"/>
        <w:ind w:left="453"/>
        <w:jc w:val="left"/>
      </w:pPr>
      <w:r>
        <w:rPr>
          <w:rFonts w:eastAsia="等线" w:ascii="Arial" w:cs="Arial" w:hAnsi="Arial"/>
          <w:sz w:val="22"/>
        </w:rPr>
        <w:t>作者策略特征​（</w:t>
      </w:r>
      <w:r>
        <w:rPr>
          <w:rFonts w:eastAsia="等线" w:ascii="Arial" w:cs="Arial" w:hAnsi="Arial"/>
          <w:i w:val="true"/>
          <w:sz w:val="22"/>
        </w:rPr>
        <w:t>Xs</w:t>
      </w:r>
      <w:r>
        <w:rPr>
          <w:rFonts w:eastAsia="等线" w:ascii="Arial" w:cs="Arial" w:hAnsi="Arial"/>
          <w:sz w:val="22"/>
        </w:rPr>
        <w:t>）：7类策略</w:t>
      </w:r>
    </w:p>
    <w:p>
      <w:pPr>
        <w:numPr>
          <w:numId w:val="76"/>
        </w:numPr>
        <w:spacing w:before="120" w:after="120" w:line="288" w:lineRule="auto"/>
        <w:ind w:left="453"/>
        <w:jc w:val="left"/>
      </w:pPr>
      <w:r>
        <w:rPr>
          <w:rFonts w:eastAsia="等线" w:ascii="Arial" w:cs="Arial" w:hAnsi="Arial"/>
          <w:sz w:val="22"/>
        </w:rPr>
        <w:t>文本特征​（</w:t>
      </w:r>
      <w:r>
        <w:rPr>
          <w:rFonts w:eastAsia="等线" w:ascii="Arial" w:cs="Arial" w:hAnsi="Arial"/>
          <w:i w:val="true"/>
          <w:sz w:val="22"/>
        </w:rPr>
        <w:t>Xt</w:t>
      </w:r>
      <w:r>
        <w:rPr>
          <w:rFonts w:eastAsia="等线" w:ascii="Arial" w:cs="Arial" w:hAnsi="Arial"/>
          <w:sz w:val="22"/>
        </w:rPr>
        <w:t>）：SPECTER编码的审稿意见与回复语义向量</w:t>
      </w:r>
    </w:p>
    <w:p>
      <w:pPr>
        <w:numPr>
          <w:numId w:val="77"/>
        </w:numPr>
        <w:spacing w:before="120" w:after="120" w:line="288" w:lineRule="auto"/>
        <w:ind w:left="453"/>
        <w:jc w:val="left"/>
      </w:pPr>
      <w:r>
        <w:rPr>
          <w:rFonts w:eastAsia="等线" w:ascii="Arial" w:cs="Arial" w:hAnsi="Arial"/>
          <w:sz w:val="22"/>
        </w:rPr>
        <w:t>最优模型​：MLP整合全部特征显著优于单特征模型</w:t>
      </w:r>
    </w:p>
    <w:p>
      <w:pPr>
        <w:spacing w:before="120" w:after="120" w:line="288" w:lineRule="auto"/>
        <w:ind w:left="453"/>
        <w:jc w:val="center"/>
      </w:pPr>
      <w:r>
        <w:drawing>
          <wp:inline distT="0" distR="0" distB="0" distL="0">
            <wp:extent cx="5257800" cy="21336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18"/>
                    <a:stretch>
                      <a:fillRect/>
                    </a:stretch>
                  </pic:blipFill>
                  <pic:spPr>
                    <a:xfrm>
                      <a:off x="0" y="0"/>
                      <a:ext cx="5257800" cy="2133600"/>
                    </a:xfrm>
                    <a:prstGeom prst="rect">
                      <a:avLst/>
                    </a:prstGeom>
                  </pic:spPr>
                </pic:pic>
              </a:graphicData>
            </a:graphic>
          </wp:inline>
        </w:drawing>
      </w:r>
    </w:p>
    <w:p>
      <w:pPr>
        <w:pStyle w:val="2"/>
        <w:spacing w:before="320" w:after="120" w:line="288" w:lineRule="auto"/>
        <w:ind w:left="0"/>
        <w:jc w:val="left"/>
        <w:outlineLvl w:val="1"/>
      </w:pPr>
      <w:bookmarkStart w:name="heading_24" w:id="24"/>
      <w:r>
        <w:rPr>
          <w:rFonts w:eastAsia="等线" w:ascii="Arial" w:cs="Arial" w:hAnsi="Arial"/>
          <w:b w:val="true"/>
          <w:sz w:val="32"/>
        </w:rPr>
        <w:t>insight</w:t>
      </w:r>
      <w:bookmarkEnd w:id="24"/>
    </w:p>
    <w:p>
      <w:pPr>
        <w:spacing w:before="120" w:after="120" w:line="288" w:lineRule="auto"/>
        <w:ind w:left="0"/>
        <w:jc w:val="left"/>
      </w:pPr>
      <w:r>
        <w:rPr>
          <w:rFonts w:eastAsia="等线" w:ascii="Arial" w:cs="Arial" w:hAnsi="Arial"/>
          <w:sz w:val="22"/>
        </w:rPr>
        <w:t>审稿人社交压力驱动分数变化</w:t>
      </w:r>
    </w:p>
    <w:p>
      <w:pPr>
        <w:numPr>
          <w:numId w:val="78"/>
        </w:numPr>
        <w:spacing w:before="120" w:after="120" w:line="288" w:lineRule="auto"/>
        <w:ind w:left="0"/>
        <w:jc w:val="left"/>
      </w:pPr>
      <w:r>
        <w:rPr>
          <w:rFonts w:eastAsia="等线" w:ascii="Arial" w:cs="Arial" w:hAnsi="Arial"/>
          <w:sz w:val="22"/>
        </w:rPr>
        <w:t>同伴效应是分数修改主因：当其他审稿人均支持时，反对者修改分数的概率提升32%。</w:t>
      </w:r>
    </w:p>
    <w:p>
      <w:pPr>
        <w:numPr>
          <w:numId w:val="79"/>
        </w:numPr>
        <w:spacing w:before="120" w:after="120" w:line="288" w:lineRule="auto"/>
        <w:ind w:left="0"/>
        <w:jc w:val="left"/>
      </w:pPr>
      <w:r>
        <w:rPr>
          <w:rFonts w:eastAsia="等线" w:ascii="Arial" w:cs="Arial" w:hAnsi="Arial"/>
          <w:sz w:val="22"/>
        </w:rPr>
        <w:t>边界论文（均分5-6）的审稿人更易受社交压力影响而修改分数</w:t>
      </w:r>
    </w:p>
    <w:p>
      <w:pPr>
        <w:numPr>
          <w:numId w:val="80"/>
        </w:numPr>
        <w:spacing w:before="120" w:after="120" w:line="288" w:lineRule="auto"/>
        <w:ind w:left="0"/>
        <w:jc w:val="left"/>
      </w:pPr>
      <w:r>
        <w:rPr>
          <w:rFonts w:eastAsia="等线" w:ascii="Arial" w:cs="Arial" w:hAnsi="Arial"/>
          <w:sz w:val="22"/>
        </w:rPr>
        <w:t>同伴效应特征贡献最大（AUC=0.7704），验证社交压力的核心作用；作者策略特征（AUC=0.7143），证明量化策略的有效性</w:t>
      </w:r>
    </w:p>
    <w:p>
      <w:pPr>
        <w:pStyle w:val="3"/>
        <w:spacing w:before="300" w:after="120" w:line="288" w:lineRule="auto"/>
        <w:ind w:left="0"/>
        <w:jc w:val="left"/>
        <w:outlineLvl w:val="2"/>
      </w:pPr>
      <w:bookmarkStart w:name="heading_25" w:id="25"/>
      <w:r>
        <w:rPr>
          <w:rFonts w:eastAsia="等线" w:ascii="Arial" w:cs="Arial" w:hAnsi="Arial"/>
          <w:b w:val="true"/>
          <w:sz w:val="30"/>
        </w:rPr>
        <w:t>局限</w:t>
      </w:r>
      <w:bookmarkEnd w:id="25"/>
    </w:p>
    <w:p>
      <w:pPr>
        <w:numPr>
          <w:numId w:val="81"/>
        </w:numPr>
        <w:spacing w:before="120" w:after="120" w:line="288" w:lineRule="auto"/>
        <w:ind w:left="0"/>
        <w:jc w:val="left"/>
      </w:pPr>
      <w:r>
        <w:rPr>
          <w:rFonts w:eastAsia="等线" w:ascii="Arial" w:cs="Arial" w:hAnsi="Arial"/>
          <w:sz w:val="22"/>
        </w:rPr>
        <w:t>未分析领域主席对审稿人的影响（因数据缺失）</w:t>
      </w:r>
    </w:p>
    <w:p>
      <w:pPr>
        <w:numPr>
          <w:numId w:val="82"/>
        </w:numPr>
        <w:spacing w:before="120" w:after="120" w:line="288" w:lineRule="auto"/>
        <w:ind w:left="0"/>
        <w:jc w:val="left"/>
      </w:pPr>
      <w:r>
        <w:rPr>
          <w:rFonts w:eastAsia="等线" w:ascii="Arial" w:cs="Arial" w:hAnsi="Arial"/>
          <w:sz w:val="22"/>
        </w:rPr>
        <w:t>策略分析依赖均值检验，未进行因果推断</w:t>
      </w:r>
    </w:p>
    <w:p>
      <w:pPr>
        <w:pStyle w:val="1"/>
        <w:spacing w:before="380" w:after="140" w:line="288" w:lineRule="auto"/>
        <w:ind w:left="0"/>
        <w:jc w:val="left"/>
        <w:outlineLvl w:val="0"/>
      </w:pPr>
      <w:bookmarkStart w:name="heading_26" w:id="26"/>
      <w:r>
        <w:rPr>
          <w:rFonts w:eastAsia="等线" w:ascii="Arial" w:cs="Arial" w:hAnsi="Arial"/>
          <w:b w:val="true"/>
          <w:sz w:val="36"/>
        </w:rPr>
        <w:t>其他</w:t>
      </w:r>
      <w:bookmarkEnd w:id="26"/>
    </w:p>
    <w:p>
      <w:pPr>
        <w:spacing w:before="120" w:after="120" w:line="288" w:lineRule="auto"/>
        <w:ind w:left="0"/>
        <w:jc w:val="left"/>
      </w:pPr>
      <w:hyperlink r:id="rId19">
        <w:r>
          <w:rPr>
            <w:rFonts w:eastAsia="等线" w:ascii="Arial" w:cs="Arial" w:hAnsi="Arial"/>
            <w:color w:val="3370ff"/>
            <w:sz w:val="22"/>
          </w:rPr>
          <w:t>从 OpenReview 获取顶会接收论文集并保存至本地数据库</w:t>
        </w:r>
      </w:hyperlink>
    </w:p>
    <w:p>
      <w:pPr>
        <w:spacing w:before="120" w:after="120" w:line="288" w:lineRule="auto"/>
        <w:ind w:left="0"/>
        <w:jc w:val="left"/>
      </w:pPr>
      <w:hyperlink r:id="rId20">
        <w:r>
          <w:rPr>
            <w:rFonts w:eastAsia="等线" w:ascii="Arial" w:cs="Arial" w:hAnsi="Arial"/>
            <w:color w:val="3370ff"/>
            <w:sz w:val="22"/>
          </w:rPr>
          <w:t xml:space="preserve"> 能不能用Chatgpt回复审稿人意见</w:t>
        </w:r>
      </w:hyperlink>
      <w:r>
        <w:rPr>
          <w:rFonts w:eastAsia="等线" w:ascii="Arial" w:cs="Arial" w:hAnsi="Arial"/>
          <w:sz w:val="22"/>
        </w:rPr>
        <w:t xml:space="preserve">  （有趣的回答）</w:t>
      </w:r>
    </w:p>
    <w:p>
      <w:pPr>
        <w:spacing w:before="120" w:after="120" w:line="288" w:lineRule="auto"/>
        <w:ind w:left="0"/>
        <w:jc w:val="left"/>
      </w:pPr>
      <w:hyperlink r:id="rId21">
        <w:r>
          <w:rPr>
            <w:rFonts w:eastAsia="等线" w:ascii="Arial" w:cs="Arial" w:hAnsi="Arial"/>
            <w:color w:val="3370ff"/>
            <w:sz w:val="22"/>
          </w:rPr>
          <w:t xml:space="preserve">  这个项目是一个用于从同行评审和反驳中提取论点对的自然语言处理工具</w:t>
        </w:r>
      </w:hyperlink>
    </w:p>
    <w:p>
      <w:pPr>
        <w:spacing w:before="120" w:after="120" w:line="288" w:lineRule="auto"/>
        <w:ind w:left="0"/>
        <w:jc w:val="left"/>
      </w:pPr>
      <w:r>
        <w:rPr>
          <w:rFonts w:eastAsia="等线" w:ascii="Arial" w:cs="Arial" w:hAnsi="Arial"/>
          <w:sz w:val="22"/>
        </w:rPr>
        <w:t>关于bias</w:t>
      </w:r>
    </w:p>
    <w:p>
      <w:pPr>
        <w:spacing w:before="120" w:after="120" w:line="288" w:lineRule="auto"/>
        <w:ind w:left="0"/>
        <w:jc w:val="left"/>
      </w:pPr>
      <w:hyperlink r:id="rId22">
        <w:r>
          <w:rPr>
            <w:rFonts w:eastAsia="等线" w:ascii="Arial" w:cs="Arial" w:hAnsi="Arial"/>
            <w:color w:val="3370ff"/>
            <w:sz w:val="22"/>
          </w:rPr>
          <w:t>Prior and Prejudice: The Novice Reviewers' Bias against Resubmissions in Conference Peer Review</w:t>
        </w:r>
      </w:hyperlink>
    </w:p>
    <w:p>
      <w:pPr>
        <w:spacing w:before="120" w:after="120" w:line="288" w:lineRule="auto"/>
        <w:ind w:left="0"/>
        <w:jc w:val="left"/>
      </w:pPr>
      <w:hyperlink r:id="rId23">
        <w:r>
          <w:rPr>
            <w:rFonts w:eastAsia="等线" w:ascii="Arial" w:cs="Arial" w:hAnsi="Arial"/>
            <w:color w:val="3370ff"/>
            <w:sz w:val="22"/>
          </w:rPr>
          <w:t>Reviewer bias in single- versus double-blind peer review</w:t>
        </w:r>
      </w:hyperlink>
    </w:p>
    <w:p>
      <w:pPr>
        <w:spacing w:before="120" w:after="120" w:line="288" w:lineRule="auto"/>
        <w:ind w:left="0"/>
        <w:jc w:val="left"/>
      </w:pPr>
      <w:r>
        <w:rPr>
          <w:rFonts w:eastAsia="等线" w:ascii="Arial" w:cs="Arial" w:hAnsi="Arial"/>
          <w:sz w:val="22"/>
        </w:rPr>
        <w:t>论元</w:t>
      </w:r>
    </w:p>
    <w:p>
      <w:pPr>
        <w:spacing w:before="120" w:after="120" w:line="288" w:lineRule="auto"/>
        <w:ind w:left="0"/>
        <w:jc w:val="left"/>
      </w:pPr>
      <w:hyperlink r:id="rId24">
        <w:r>
          <w:rPr>
            <w:rFonts w:eastAsia="等线" w:ascii="Arial" w:cs="Arial" w:hAnsi="Arial"/>
            <w:color w:val="3370ff"/>
            <w:sz w:val="22"/>
          </w:rPr>
          <w:t>Argument Pair Extraction via Attention-guided Multi-Layer Multi-Cross Encoding</w:t>
        </w:r>
      </w:hyperlink>
    </w:p>
    <w:p>
      <w:pPr>
        <w:pStyle w:val="1"/>
        <w:spacing w:before="380" w:after="140" w:line="288" w:lineRule="auto"/>
        <w:ind w:left="0"/>
        <w:jc w:val="left"/>
        <w:outlineLvl w:val="0"/>
      </w:pPr>
      <w:bookmarkStart w:name="heading_27" w:id="27"/>
      <w:bookmarkEnd w:id="27"/>
    </w:p>
    <w:p>
      <w:pPr>
        <w:spacing w:before="120" w:after="120" w:line="288" w:lineRule="auto"/>
        <w:ind w:left="0"/>
        <w:jc w:val="left"/>
      </w:pPr>
    </w:p>
    <w:sectPr>
      <w:footerReference w:type="default" r:id="rId3"/>
      <w:headerReference w:type="default" r:id="rId2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90615">
    <w:lvl>
      <w:numFmt w:val="bullet"/>
      <w:suff w:val="tab"/>
      <w:lvlText w:val="•"/>
      <w:rPr>
        <w:color w:val="3370ff"/>
      </w:rPr>
    </w:lvl>
  </w:abstractNum>
  <w:abstractNum w:abstractNumId="290616">
    <w:lvl>
      <w:numFmt w:val="bullet"/>
      <w:suff w:val="tab"/>
      <w:lvlText w:val="￮"/>
      <w:rPr>
        <w:color w:val="3370ff"/>
      </w:rPr>
    </w:lvl>
  </w:abstractNum>
  <w:abstractNum w:abstractNumId="290617">
    <w:lvl>
      <w:numFmt w:val="bullet"/>
      <w:suff w:val="tab"/>
      <w:lvlText w:val="￮"/>
      <w:rPr>
        <w:color w:val="3370ff"/>
      </w:rPr>
    </w:lvl>
  </w:abstractNum>
  <w:abstractNum w:abstractNumId="290618">
    <w:lvl>
      <w:numFmt w:val="bullet"/>
      <w:suff w:val="tab"/>
      <w:lvlText w:val="▪"/>
      <w:rPr>
        <w:color w:val="3370ff"/>
        <w:sz w:val="11"/>
      </w:rPr>
    </w:lvl>
  </w:abstractNum>
  <w:abstractNum w:abstractNumId="290619">
    <w:lvl>
      <w:numFmt w:val="bullet"/>
      <w:suff w:val="tab"/>
      <w:lvlText w:val="▪"/>
      <w:rPr>
        <w:color w:val="3370ff"/>
        <w:sz w:val="11"/>
      </w:rPr>
    </w:lvl>
  </w:abstractNum>
  <w:abstractNum w:abstractNumId="290620">
    <w:lvl>
      <w:numFmt w:val="bullet"/>
      <w:suff w:val="tab"/>
      <w:lvlText w:val="▪"/>
      <w:rPr>
        <w:color w:val="3370ff"/>
        <w:sz w:val="11"/>
      </w:rPr>
    </w:lvl>
  </w:abstractNum>
  <w:abstractNum w:abstractNumId="290621">
    <w:lvl>
      <w:numFmt w:val="bullet"/>
      <w:suff w:val="tab"/>
      <w:lvlText w:val="•"/>
      <w:rPr>
        <w:color w:val="3370ff"/>
      </w:rPr>
    </w:lvl>
  </w:abstractNum>
  <w:abstractNum w:abstractNumId="290622">
    <w:lvl>
      <w:numFmt w:val="bullet"/>
      <w:suff w:val="tab"/>
      <w:lvlText w:val="￮"/>
      <w:rPr>
        <w:color w:val="3370ff"/>
      </w:rPr>
    </w:lvl>
  </w:abstractNum>
  <w:abstractNum w:abstractNumId="290623">
    <w:lvl>
      <w:start w:val="1"/>
      <w:numFmt w:val="decimal"/>
      <w:suff w:val="tab"/>
      <w:lvlText w:val="%1."/>
      <w:rPr>
        <w:color w:val="3370ff"/>
      </w:rPr>
    </w:lvl>
  </w:abstractNum>
  <w:abstractNum w:abstractNumId="290624">
    <w:lvl>
      <w:start w:val="2"/>
      <w:numFmt w:val="decimal"/>
      <w:suff w:val="tab"/>
      <w:lvlText w:val="%1."/>
      <w:rPr>
        <w:color w:val="3370ff"/>
      </w:rPr>
    </w:lvl>
  </w:abstractNum>
  <w:abstractNum w:abstractNumId="290625">
    <w:lvl>
      <w:start w:val="3"/>
      <w:numFmt w:val="decimal"/>
      <w:suff w:val="tab"/>
      <w:lvlText w:val="%1."/>
      <w:rPr>
        <w:color w:val="3370ff"/>
      </w:rPr>
    </w:lvl>
  </w:abstractNum>
  <w:abstractNum w:abstractNumId="290626">
    <w:lvl>
      <w:numFmt w:val="bullet"/>
      <w:suff w:val="tab"/>
      <w:lvlText w:val="•"/>
      <w:rPr>
        <w:color w:val="3370ff"/>
      </w:rPr>
    </w:lvl>
  </w:abstractNum>
  <w:abstractNum w:abstractNumId="290627">
    <w:lvl>
      <w:numFmt w:val="bullet"/>
      <w:suff w:val="tab"/>
      <w:lvlText w:val="•"/>
      <w:rPr>
        <w:color w:val="3370ff"/>
      </w:rPr>
    </w:lvl>
  </w:abstractNum>
  <w:abstractNum w:abstractNumId="290628">
    <w:lvl>
      <w:numFmt w:val="bullet"/>
      <w:suff w:val="tab"/>
      <w:lvlText w:val="•"/>
      <w:rPr>
        <w:color w:val="3370ff"/>
      </w:rPr>
    </w:lvl>
  </w:abstractNum>
  <w:abstractNum w:abstractNumId="290629">
    <w:lvl>
      <w:numFmt w:val="bullet"/>
      <w:suff w:val="tab"/>
      <w:lvlText w:val="•"/>
      <w:rPr>
        <w:color w:val="3370ff"/>
      </w:rPr>
    </w:lvl>
  </w:abstractNum>
  <w:abstractNum w:abstractNumId="290630">
    <w:lvl>
      <w:numFmt w:val="bullet"/>
      <w:suff w:val="tab"/>
      <w:lvlText w:val="•"/>
      <w:rPr>
        <w:color w:val="3370ff"/>
      </w:rPr>
    </w:lvl>
  </w:abstractNum>
  <w:abstractNum w:abstractNumId="290631">
    <w:lvl>
      <w:numFmt w:val="bullet"/>
      <w:suff w:val="tab"/>
      <w:lvlText w:val="•"/>
      <w:rPr>
        <w:color w:val="3370ff"/>
      </w:rPr>
    </w:lvl>
  </w:abstractNum>
  <w:abstractNum w:abstractNumId="290632">
    <w:lvl>
      <w:numFmt w:val="bullet"/>
      <w:suff w:val="tab"/>
      <w:lvlText w:val="•"/>
      <w:rPr>
        <w:color w:val="3370ff"/>
      </w:rPr>
    </w:lvl>
  </w:abstractNum>
  <w:abstractNum w:abstractNumId="290633">
    <w:lvl>
      <w:numFmt w:val="bullet"/>
      <w:suff w:val="tab"/>
      <w:lvlText w:val="•"/>
      <w:rPr>
        <w:color w:val="3370ff"/>
      </w:rPr>
    </w:lvl>
  </w:abstractNum>
  <w:abstractNum w:abstractNumId="290634">
    <w:lvl>
      <w:numFmt w:val="bullet"/>
      <w:suff w:val="tab"/>
      <w:lvlText w:val="￮"/>
      <w:rPr>
        <w:color w:val="3370ff"/>
      </w:rPr>
    </w:lvl>
  </w:abstractNum>
  <w:abstractNum w:abstractNumId="290635">
    <w:lvl>
      <w:numFmt w:val="bullet"/>
      <w:suff w:val="tab"/>
      <w:lvlText w:val="￮"/>
      <w:rPr>
        <w:color w:val="3370ff"/>
      </w:rPr>
    </w:lvl>
  </w:abstractNum>
  <w:abstractNum w:abstractNumId="290636">
    <w:lvl>
      <w:numFmt w:val="bullet"/>
      <w:suff w:val="tab"/>
      <w:lvlText w:val="￮"/>
      <w:rPr>
        <w:color w:val="3370ff"/>
      </w:rPr>
    </w:lvl>
  </w:abstractNum>
  <w:abstractNum w:abstractNumId="290637">
    <w:lvl>
      <w:numFmt w:val="bullet"/>
      <w:suff w:val="tab"/>
      <w:lvlText w:val="•"/>
      <w:rPr>
        <w:color w:val="3370ff"/>
      </w:rPr>
    </w:lvl>
  </w:abstractNum>
  <w:abstractNum w:abstractNumId="290638">
    <w:lvl>
      <w:numFmt w:val="bullet"/>
      <w:suff w:val="tab"/>
      <w:lvlText w:val="￮"/>
      <w:rPr>
        <w:color w:val="3370ff"/>
      </w:rPr>
    </w:lvl>
  </w:abstractNum>
  <w:abstractNum w:abstractNumId="290639">
    <w:lvl>
      <w:numFmt w:val="bullet"/>
      <w:suff w:val="tab"/>
      <w:lvlText w:val="￮"/>
      <w:rPr>
        <w:color w:val="3370ff"/>
      </w:rPr>
    </w:lvl>
  </w:abstractNum>
  <w:abstractNum w:abstractNumId="290640">
    <w:lvl>
      <w:numFmt w:val="bullet"/>
      <w:suff w:val="tab"/>
      <w:lvlText w:val="￮"/>
      <w:rPr>
        <w:color w:val="3370ff"/>
      </w:rPr>
    </w:lvl>
  </w:abstractNum>
  <w:abstractNum w:abstractNumId="290641">
    <w:lvl>
      <w:numFmt w:val="bullet"/>
      <w:suff w:val="tab"/>
      <w:lvlText w:val="￮"/>
      <w:rPr>
        <w:color w:val="3370ff"/>
      </w:rPr>
    </w:lvl>
  </w:abstractNum>
  <w:abstractNum w:abstractNumId="290642">
    <w:lvl>
      <w:numFmt w:val="bullet"/>
      <w:suff w:val="tab"/>
      <w:lvlText w:val="•"/>
      <w:rPr>
        <w:color w:val="3370ff"/>
      </w:rPr>
    </w:lvl>
  </w:abstractNum>
  <w:abstractNum w:abstractNumId="290643">
    <w:lvl>
      <w:numFmt w:val="bullet"/>
      <w:suff w:val="tab"/>
      <w:lvlText w:val="•"/>
      <w:rPr>
        <w:color w:val="3370ff"/>
      </w:rPr>
    </w:lvl>
  </w:abstractNum>
  <w:abstractNum w:abstractNumId="290644">
    <w:lvl>
      <w:numFmt w:val="bullet"/>
      <w:suff w:val="tab"/>
      <w:lvlText w:val="•"/>
      <w:rPr>
        <w:color w:val="3370ff"/>
      </w:rPr>
    </w:lvl>
  </w:abstractNum>
  <w:abstractNum w:abstractNumId="290645">
    <w:lvl>
      <w:numFmt w:val="bullet"/>
      <w:suff w:val="tab"/>
      <w:lvlText w:val="•"/>
      <w:rPr>
        <w:color w:val="3370ff"/>
      </w:rPr>
    </w:lvl>
  </w:abstractNum>
  <w:abstractNum w:abstractNumId="290646">
    <w:lvl>
      <w:numFmt w:val="bullet"/>
      <w:suff w:val="tab"/>
      <w:lvlText w:val="•"/>
      <w:rPr>
        <w:color w:val="3370ff"/>
      </w:rPr>
    </w:lvl>
  </w:abstractNum>
  <w:abstractNum w:abstractNumId="290647">
    <w:lvl>
      <w:numFmt w:val="bullet"/>
      <w:suff w:val="tab"/>
      <w:lvlText w:val="•"/>
      <w:rPr>
        <w:color w:val="3370ff"/>
      </w:rPr>
    </w:lvl>
  </w:abstractNum>
  <w:abstractNum w:abstractNumId="290648">
    <w:lvl>
      <w:numFmt w:val="bullet"/>
      <w:suff w:val="tab"/>
      <w:lvlText w:val="•"/>
      <w:rPr>
        <w:color w:val="3370ff"/>
      </w:rPr>
    </w:lvl>
  </w:abstractNum>
  <w:abstractNum w:abstractNumId="290649">
    <w:lvl>
      <w:numFmt w:val="bullet"/>
      <w:suff w:val="tab"/>
      <w:lvlText w:val="•"/>
      <w:rPr>
        <w:color w:val="3370ff"/>
      </w:rPr>
    </w:lvl>
  </w:abstractNum>
  <w:abstractNum w:abstractNumId="290650">
    <w:lvl>
      <w:numFmt w:val="bullet"/>
      <w:suff w:val="tab"/>
      <w:lvlText w:val="•"/>
      <w:rPr>
        <w:color w:val="3370ff"/>
      </w:rPr>
    </w:lvl>
  </w:abstractNum>
  <w:abstractNum w:abstractNumId="290651">
    <w:lvl>
      <w:numFmt w:val="bullet"/>
      <w:suff w:val="tab"/>
      <w:lvlText w:val="•"/>
      <w:rPr>
        <w:color w:val="3370ff"/>
      </w:rPr>
    </w:lvl>
  </w:abstractNum>
  <w:abstractNum w:abstractNumId="290652">
    <w:lvl>
      <w:numFmt w:val="bullet"/>
      <w:suff w:val="tab"/>
      <w:lvlText w:val="•"/>
      <w:rPr>
        <w:color w:val="3370ff"/>
      </w:rPr>
    </w:lvl>
  </w:abstractNum>
  <w:abstractNum w:abstractNumId="290653">
    <w:lvl>
      <w:numFmt w:val="bullet"/>
      <w:suff w:val="tab"/>
      <w:lvlText w:val="•"/>
      <w:rPr>
        <w:color w:val="3370ff"/>
      </w:rPr>
    </w:lvl>
  </w:abstractNum>
  <w:abstractNum w:abstractNumId="290654">
    <w:lvl>
      <w:numFmt w:val="bullet"/>
      <w:suff w:val="tab"/>
      <w:lvlText w:val="•"/>
      <w:rPr>
        <w:color w:val="3370ff"/>
      </w:rPr>
    </w:lvl>
  </w:abstractNum>
  <w:abstractNum w:abstractNumId="290655">
    <w:lvl>
      <w:numFmt w:val="bullet"/>
      <w:suff w:val="tab"/>
      <w:lvlText w:val="￮"/>
      <w:rPr>
        <w:color w:val="3370ff"/>
      </w:rPr>
    </w:lvl>
  </w:abstractNum>
  <w:abstractNum w:abstractNumId="290656">
    <w:lvl>
      <w:numFmt w:val="bullet"/>
      <w:suff w:val="tab"/>
      <w:lvlText w:val="￮"/>
      <w:rPr>
        <w:color w:val="3370ff"/>
      </w:rPr>
    </w:lvl>
  </w:abstractNum>
  <w:abstractNum w:abstractNumId="290657">
    <w:lvl>
      <w:numFmt w:val="bullet"/>
      <w:suff w:val="tab"/>
      <w:lvlText w:val="￮"/>
      <w:rPr>
        <w:color w:val="3370ff"/>
      </w:rPr>
    </w:lvl>
  </w:abstractNum>
  <w:abstractNum w:abstractNumId="290658">
    <w:lvl>
      <w:numFmt w:val="bullet"/>
      <w:suff w:val="tab"/>
      <w:lvlText w:val="•"/>
      <w:rPr>
        <w:color w:val="3370ff"/>
      </w:rPr>
    </w:lvl>
  </w:abstractNum>
  <w:abstractNum w:abstractNumId="290659">
    <w:lvl>
      <w:numFmt w:val="bullet"/>
      <w:suff w:val="tab"/>
      <w:lvlText w:val="•"/>
      <w:rPr>
        <w:color w:val="3370ff"/>
      </w:rPr>
    </w:lvl>
  </w:abstractNum>
  <w:abstractNum w:abstractNumId="290660">
    <w:lvl>
      <w:start w:val="1"/>
      <w:numFmt w:val="decimal"/>
      <w:suff w:val="tab"/>
      <w:lvlText w:val="%1."/>
      <w:rPr>
        <w:color w:val="3370ff"/>
      </w:rPr>
    </w:lvl>
  </w:abstractNum>
  <w:abstractNum w:abstractNumId="290661">
    <w:lvl>
      <w:numFmt w:val="bullet"/>
      <w:suff w:val="tab"/>
      <w:lvlText w:val="￮"/>
      <w:rPr>
        <w:color w:val="3370ff"/>
      </w:rPr>
    </w:lvl>
  </w:abstractNum>
  <w:abstractNum w:abstractNumId="290662">
    <w:lvl>
      <w:numFmt w:val="bullet"/>
      <w:suff w:val="tab"/>
      <w:lvlText w:val="￮"/>
      <w:rPr>
        <w:color w:val="3370ff"/>
      </w:rPr>
    </w:lvl>
  </w:abstractNum>
  <w:abstractNum w:abstractNumId="290663">
    <w:lvl>
      <w:numFmt w:val="bullet"/>
      <w:suff w:val="tab"/>
      <w:lvlText w:val="￮"/>
      <w:rPr>
        <w:color w:val="3370ff"/>
      </w:rPr>
    </w:lvl>
  </w:abstractNum>
  <w:abstractNum w:abstractNumId="290664">
    <w:lvl>
      <w:start w:val="2"/>
      <w:numFmt w:val="decimal"/>
      <w:suff w:val="tab"/>
      <w:lvlText w:val="%1."/>
      <w:rPr>
        <w:color w:val="3370ff"/>
      </w:rPr>
    </w:lvl>
  </w:abstractNum>
  <w:abstractNum w:abstractNumId="290665">
    <w:lvl>
      <w:numFmt w:val="bullet"/>
      <w:suff w:val="tab"/>
      <w:lvlText w:val="￮"/>
      <w:rPr>
        <w:color w:val="3370ff"/>
      </w:rPr>
    </w:lvl>
  </w:abstractNum>
  <w:abstractNum w:abstractNumId="290666">
    <w:lvl>
      <w:numFmt w:val="bullet"/>
      <w:suff w:val="tab"/>
      <w:lvlText w:val="￮"/>
      <w:rPr>
        <w:color w:val="3370ff"/>
      </w:rPr>
    </w:lvl>
  </w:abstractNum>
  <w:abstractNum w:abstractNumId="290667">
    <w:lvl>
      <w:numFmt w:val="bullet"/>
      <w:suff w:val="tab"/>
      <w:lvlText w:val="￮"/>
      <w:rPr>
        <w:color w:val="3370ff"/>
      </w:rPr>
    </w:lvl>
  </w:abstractNum>
  <w:abstractNum w:abstractNumId="290668">
    <w:lvl>
      <w:numFmt w:val="bullet"/>
      <w:suff w:val="tab"/>
      <w:lvlText w:val="•"/>
      <w:rPr>
        <w:color w:val="3370ff"/>
      </w:rPr>
    </w:lvl>
  </w:abstractNum>
  <w:abstractNum w:abstractNumId="290669">
    <w:lvl>
      <w:numFmt w:val="bullet"/>
      <w:suff w:val="tab"/>
      <w:lvlText w:val="•"/>
      <w:rPr>
        <w:color w:val="3370ff"/>
      </w:rPr>
    </w:lvl>
  </w:abstractNum>
  <w:abstractNum w:abstractNumId="290670">
    <w:lvl>
      <w:numFmt w:val="bullet"/>
      <w:suff w:val="tab"/>
      <w:lvlText w:val="•"/>
      <w:rPr>
        <w:color w:val="3370ff"/>
      </w:rPr>
    </w:lvl>
  </w:abstractNum>
  <w:abstractNum w:abstractNumId="290671">
    <w:lvl>
      <w:numFmt w:val="bullet"/>
      <w:suff w:val="tab"/>
      <w:lvlText w:val="•"/>
      <w:rPr>
        <w:color w:val="3370ff"/>
      </w:rPr>
    </w:lvl>
  </w:abstractNum>
  <w:abstractNum w:abstractNumId="290672">
    <w:lvl>
      <w:numFmt w:val="bullet"/>
      <w:suff w:val="tab"/>
      <w:lvlText w:val="•"/>
      <w:rPr>
        <w:color w:val="3370ff"/>
      </w:rPr>
    </w:lvl>
  </w:abstractNum>
  <w:abstractNum w:abstractNumId="290673">
    <w:lvl>
      <w:numFmt w:val="bullet"/>
      <w:suff w:val="tab"/>
      <w:lvlText w:val="•"/>
      <w:rPr>
        <w:color w:val="3370ff"/>
      </w:rPr>
    </w:lvl>
  </w:abstractNum>
  <w:abstractNum w:abstractNumId="290674">
    <w:lvl>
      <w:numFmt w:val="bullet"/>
      <w:suff w:val="tab"/>
      <w:lvlText w:val="•"/>
      <w:rPr>
        <w:color w:val="3370ff"/>
      </w:rPr>
    </w:lvl>
  </w:abstractNum>
  <w:abstractNum w:abstractNumId="290675">
    <w:lvl>
      <w:numFmt w:val="bullet"/>
      <w:suff w:val="tab"/>
      <w:lvlText w:val="•"/>
      <w:rPr>
        <w:color w:val="3370ff"/>
      </w:rPr>
    </w:lvl>
  </w:abstractNum>
  <w:abstractNum w:abstractNumId="290676">
    <w:lvl>
      <w:numFmt w:val="bullet"/>
      <w:suff w:val="tab"/>
      <w:lvlText w:val="￮"/>
      <w:rPr>
        <w:color w:val="3370ff"/>
      </w:rPr>
    </w:lvl>
  </w:abstractNum>
  <w:abstractNum w:abstractNumId="290677">
    <w:lvl>
      <w:numFmt w:val="bullet"/>
      <w:suff w:val="tab"/>
      <w:lvlText w:val="￮"/>
      <w:rPr>
        <w:color w:val="3370ff"/>
      </w:rPr>
    </w:lvl>
  </w:abstractNum>
  <w:abstractNum w:abstractNumId="290678">
    <w:lvl>
      <w:numFmt w:val="bullet"/>
      <w:suff w:val="tab"/>
      <w:lvlText w:val="￮"/>
      <w:rPr>
        <w:color w:val="3370ff"/>
      </w:rPr>
    </w:lvl>
  </w:abstractNum>
  <w:abstractNum w:abstractNumId="290679">
    <w:lvl>
      <w:numFmt w:val="bullet"/>
      <w:suff w:val="tab"/>
      <w:lvlText w:val="￮"/>
      <w:rPr>
        <w:color w:val="3370ff"/>
      </w:rPr>
    </w:lvl>
  </w:abstractNum>
  <w:abstractNum w:abstractNumId="290680">
    <w:lvl>
      <w:numFmt w:val="bullet"/>
      <w:suff w:val="tab"/>
      <w:lvlText w:val="￮"/>
      <w:rPr>
        <w:color w:val="3370ff"/>
      </w:rPr>
    </w:lvl>
  </w:abstractNum>
  <w:abstractNum w:abstractNumId="290681">
    <w:lvl>
      <w:numFmt w:val="bullet"/>
      <w:suff w:val="tab"/>
      <w:lvlText w:val="￮"/>
      <w:rPr>
        <w:color w:val="3370ff"/>
      </w:rPr>
    </w:lvl>
  </w:abstractNum>
  <w:abstractNum w:abstractNumId="290682">
    <w:lvl>
      <w:numFmt w:val="bullet"/>
      <w:suff w:val="tab"/>
      <w:lvlText w:val="￮"/>
      <w:rPr>
        <w:color w:val="3370ff"/>
      </w:rPr>
    </w:lvl>
  </w:abstractNum>
  <w:abstractNum w:abstractNumId="290683">
    <w:lvl>
      <w:numFmt w:val="bullet"/>
      <w:suff w:val="tab"/>
      <w:lvlText w:val="￮"/>
      <w:rPr>
        <w:color w:val="3370ff"/>
      </w:rPr>
    </w:lvl>
  </w:abstractNum>
  <w:abstractNum w:abstractNumId="290684">
    <w:lvl>
      <w:numFmt w:val="bullet"/>
      <w:suff w:val="tab"/>
      <w:lvlText w:val="￮"/>
      <w:rPr>
        <w:color w:val="3370ff"/>
      </w:rPr>
    </w:lvl>
  </w:abstractNum>
  <w:abstractNum w:abstractNumId="290685">
    <w:lvl>
      <w:numFmt w:val="bullet"/>
      <w:suff w:val="tab"/>
      <w:lvlText w:val="￮"/>
      <w:rPr>
        <w:color w:val="3370ff"/>
      </w:rPr>
    </w:lvl>
  </w:abstractNum>
  <w:abstractNum w:abstractNumId="290686">
    <w:lvl>
      <w:numFmt w:val="bullet"/>
      <w:suff w:val="tab"/>
      <w:lvlText w:val="￮"/>
      <w:rPr>
        <w:color w:val="3370ff"/>
      </w:rPr>
    </w:lvl>
  </w:abstractNum>
  <w:abstractNum w:abstractNumId="290687">
    <w:lvl>
      <w:numFmt w:val="bullet"/>
      <w:suff w:val="tab"/>
      <w:lvlText w:val="￮"/>
      <w:rPr>
        <w:color w:val="3370ff"/>
      </w:rPr>
    </w:lvl>
  </w:abstractNum>
  <w:abstractNum w:abstractNumId="290688">
    <w:lvl>
      <w:numFmt w:val="bullet"/>
      <w:suff w:val="tab"/>
      <w:lvlText w:val="￮"/>
      <w:rPr>
        <w:color w:val="3370ff"/>
      </w:rPr>
    </w:lvl>
  </w:abstractNum>
  <w:abstractNum w:abstractNumId="290689">
    <w:lvl>
      <w:numFmt w:val="bullet"/>
      <w:suff w:val="tab"/>
      <w:lvlText w:val="￮"/>
      <w:rPr>
        <w:color w:val="3370ff"/>
      </w:rPr>
    </w:lvl>
  </w:abstractNum>
  <w:abstractNum w:abstractNumId="290690">
    <w:lvl>
      <w:numFmt w:val="bullet"/>
      <w:suff w:val="tab"/>
      <w:lvlText w:val="￮"/>
      <w:rPr>
        <w:color w:val="3370ff"/>
      </w:rPr>
    </w:lvl>
  </w:abstractNum>
  <w:abstractNum w:abstractNumId="290691">
    <w:lvl>
      <w:numFmt w:val="bullet"/>
      <w:suff w:val="tab"/>
      <w:lvlText w:val="￮"/>
      <w:rPr>
        <w:color w:val="3370ff"/>
      </w:rPr>
    </w:lvl>
  </w:abstractNum>
  <w:abstractNum w:abstractNumId="290692">
    <w:lvl>
      <w:numFmt w:val="bullet"/>
      <w:suff w:val="tab"/>
      <w:lvlText w:val="•"/>
      <w:rPr>
        <w:color w:val="3370ff"/>
      </w:rPr>
    </w:lvl>
  </w:abstractNum>
  <w:abstractNum w:abstractNumId="290693">
    <w:lvl>
      <w:numFmt w:val="bullet"/>
      <w:suff w:val="tab"/>
      <w:lvlText w:val="•"/>
      <w:rPr>
        <w:color w:val="3370ff"/>
      </w:rPr>
    </w:lvl>
  </w:abstractNum>
  <w:abstractNum w:abstractNumId="290694">
    <w:lvl>
      <w:numFmt w:val="bullet"/>
      <w:suff w:val="tab"/>
      <w:lvlText w:val="•"/>
      <w:rPr>
        <w:color w:val="3370ff"/>
      </w:rPr>
    </w:lvl>
  </w:abstractNum>
  <w:abstractNum w:abstractNumId="290695">
    <w:lvl>
      <w:numFmt w:val="bullet"/>
      <w:suff w:val="tab"/>
      <w:lvlText w:val="•"/>
      <w:rPr>
        <w:color w:val="3370ff"/>
      </w:rPr>
    </w:lvl>
  </w:abstractNum>
  <w:abstractNum w:abstractNumId="290696">
    <w:lvl>
      <w:numFmt w:val="bullet"/>
      <w:suff w:val="tab"/>
      <w:lvlText w:val="•"/>
      <w:rPr>
        <w:color w:val="3370ff"/>
      </w:rPr>
    </w:lvl>
  </w:abstractNum>
  <w:num w:numId="1">
    <w:abstractNumId w:val="290615"/>
  </w:num>
  <w:num w:numId="2">
    <w:abstractNumId w:val="290616"/>
  </w:num>
  <w:num w:numId="3">
    <w:abstractNumId w:val="290617"/>
  </w:num>
  <w:num w:numId="4">
    <w:abstractNumId w:val="290618"/>
  </w:num>
  <w:num w:numId="5">
    <w:abstractNumId w:val="290619"/>
  </w:num>
  <w:num w:numId="6">
    <w:abstractNumId w:val="290620"/>
  </w:num>
  <w:num w:numId="7">
    <w:abstractNumId w:val="290621"/>
  </w:num>
  <w:num w:numId="8">
    <w:abstractNumId w:val="290622"/>
  </w:num>
  <w:num w:numId="9">
    <w:abstractNumId w:val="290623"/>
  </w:num>
  <w:num w:numId="10">
    <w:abstractNumId w:val="290624"/>
  </w:num>
  <w:num w:numId="11">
    <w:abstractNumId w:val="290625"/>
  </w:num>
  <w:num w:numId="12">
    <w:abstractNumId w:val="290626"/>
  </w:num>
  <w:num w:numId="13">
    <w:abstractNumId w:val="290627"/>
  </w:num>
  <w:num w:numId="14">
    <w:abstractNumId w:val="290628"/>
  </w:num>
  <w:num w:numId="15">
    <w:abstractNumId w:val="290629"/>
  </w:num>
  <w:num w:numId="16">
    <w:abstractNumId w:val="290630"/>
  </w:num>
  <w:num w:numId="17">
    <w:abstractNumId w:val="290631"/>
  </w:num>
  <w:num w:numId="18">
    <w:abstractNumId w:val="290632"/>
  </w:num>
  <w:num w:numId="19">
    <w:abstractNumId w:val="290633"/>
  </w:num>
  <w:num w:numId="20">
    <w:abstractNumId w:val="290634"/>
  </w:num>
  <w:num w:numId="21">
    <w:abstractNumId w:val="290635"/>
  </w:num>
  <w:num w:numId="22">
    <w:abstractNumId w:val="290636"/>
  </w:num>
  <w:num w:numId="23">
    <w:abstractNumId w:val="290637"/>
  </w:num>
  <w:num w:numId="24">
    <w:abstractNumId w:val="290638"/>
  </w:num>
  <w:num w:numId="25">
    <w:abstractNumId w:val="290639"/>
  </w:num>
  <w:num w:numId="26">
    <w:abstractNumId w:val="290640"/>
  </w:num>
  <w:num w:numId="27">
    <w:abstractNumId w:val="290641"/>
  </w:num>
  <w:num w:numId="28">
    <w:abstractNumId w:val="290642"/>
  </w:num>
  <w:num w:numId="29">
    <w:abstractNumId w:val="290643"/>
  </w:num>
  <w:num w:numId="30">
    <w:abstractNumId w:val="290644"/>
  </w:num>
  <w:num w:numId="31">
    <w:abstractNumId w:val="290645"/>
  </w:num>
  <w:num w:numId="32">
    <w:abstractNumId w:val="290646"/>
  </w:num>
  <w:num w:numId="33">
    <w:abstractNumId w:val="290647"/>
  </w:num>
  <w:num w:numId="34">
    <w:abstractNumId w:val="290648"/>
  </w:num>
  <w:num w:numId="35">
    <w:abstractNumId w:val="290649"/>
  </w:num>
  <w:num w:numId="36">
    <w:abstractNumId w:val="290650"/>
  </w:num>
  <w:num w:numId="37">
    <w:abstractNumId w:val="290651"/>
  </w:num>
  <w:num w:numId="38">
    <w:abstractNumId w:val="290652"/>
  </w:num>
  <w:num w:numId="39">
    <w:abstractNumId w:val="290653"/>
  </w:num>
  <w:num w:numId="40">
    <w:abstractNumId w:val="290654"/>
  </w:num>
  <w:num w:numId="41">
    <w:abstractNumId w:val="290655"/>
  </w:num>
  <w:num w:numId="42">
    <w:abstractNumId w:val="290656"/>
  </w:num>
  <w:num w:numId="43">
    <w:abstractNumId w:val="290657"/>
  </w:num>
  <w:num w:numId="44">
    <w:abstractNumId w:val="290658"/>
  </w:num>
  <w:num w:numId="45">
    <w:abstractNumId w:val="290659"/>
  </w:num>
  <w:num w:numId="46">
    <w:abstractNumId w:val="290660"/>
  </w:num>
  <w:num w:numId="47">
    <w:abstractNumId w:val="290661"/>
  </w:num>
  <w:num w:numId="48">
    <w:abstractNumId w:val="290662"/>
  </w:num>
  <w:num w:numId="49">
    <w:abstractNumId w:val="290663"/>
  </w:num>
  <w:num w:numId="50">
    <w:abstractNumId w:val="290664"/>
  </w:num>
  <w:num w:numId="51">
    <w:abstractNumId w:val="290665"/>
  </w:num>
  <w:num w:numId="52">
    <w:abstractNumId w:val="290666"/>
  </w:num>
  <w:num w:numId="53">
    <w:abstractNumId w:val="290667"/>
  </w:num>
  <w:num w:numId="54">
    <w:abstractNumId w:val="290668"/>
  </w:num>
  <w:num w:numId="55">
    <w:abstractNumId w:val="290669"/>
  </w:num>
  <w:num w:numId="56">
    <w:abstractNumId w:val="290670"/>
  </w:num>
  <w:num w:numId="57">
    <w:abstractNumId w:val="290671"/>
  </w:num>
  <w:num w:numId="58">
    <w:abstractNumId w:val="290672"/>
  </w:num>
  <w:num w:numId="59">
    <w:abstractNumId w:val="290673"/>
  </w:num>
  <w:num w:numId="60">
    <w:abstractNumId w:val="290674"/>
  </w:num>
  <w:num w:numId="61">
    <w:abstractNumId w:val="290675"/>
  </w:num>
  <w:num w:numId="62">
    <w:abstractNumId w:val="290676"/>
  </w:num>
  <w:num w:numId="63">
    <w:abstractNumId w:val="290677"/>
  </w:num>
  <w:num w:numId="64">
    <w:abstractNumId w:val="290678"/>
  </w:num>
  <w:num w:numId="65">
    <w:abstractNumId w:val="290679"/>
  </w:num>
  <w:num w:numId="66">
    <w:abstractNumId w:val="290680"/>
  </w:num>
  <w:num w:numId="67">
    <w:abstractNumId w:val="290681"/>
  </w:num>
  <w:num w:numId="68">
    <w:abstractNumId w:val="290682"/>
  </w:num>
  <w:num w:numId="69">
    <w:abstractNumId w:val="290683"/>
  </w:num>
  <w:num w:numId="70">
    <w:abstractNumId w:val="290684"/>
  </w:num>
  <w:num w:numId="71">
    <w:abstractNumId w:val="290685"/>
  </w:num>
  <w:num w:numId="72">
    <w:abstractNumId w:val="290686"/>
  </w:num>
  <w:num w:numId="73">
    <w:abstractNumId w:val="290687"/>
  </w:num>
  <w:num w:numId="74">
    <w:abstractNumId w:val="290688"/>
  </w:num>
  <w:num w:numId="75">
    <w:abstractNumId w:val="290689"/>
  </w:num>
  <w:num w:numId="76">
    <w:abstractNumId w:val="290690"/>
  </w:num>
  <w:num w:numId="77">
    <w:abstractNumId w:val="290691"/>
  </w:num>
  <w:num w:numId="78">
    <w:abstractNumId w:val="290692"/>
  </w:num>
  <w:num w:numId="79">
    <w:abstractNumId w:val="290693"/>
  </w:num>
  <w:num w:numId="80">
    <w:abstractNumId w:val="290694"/>
  </w:num>
  <w:num w:numId="81">
    <w:abstractNumId w:val="290695"/>
  </w:num>
  <w:num w:numId="82">
    <w:abstractNumId w:val="29069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mbeddings/Microsoft_Excel_Worksheet2.xlsx" Type="http://schemas.openxmlformats.org/officeDocument/2006/relationships/package"/><Relationship Id="rId11" Target="media/image2.png" Type="http://schemas.openxmlformats.org/officeDocument/2006/relationships/image"/><Relationship Id="rId12" Target="https://aclanthology.org/2020.emnlp-main.569/" TargetMode="External" Type="http://schemas.openxmlformats.org/officeDocument/2006/relationships/hyperlink"/><Relationship Id="rId13" Target="https://dl.acm.org/doi/10.1145/3511808.3557360" TargetMode="External" Type="http://schemas.openxmlformats.org/officeDocument/2006/relationships/hyperlink"/><Relationship Id="rId14" Target="https://aclanthology.org/N19-1129/" TargetMode="External" Type="http://schemas.openxmlformats.org/officeDocument/2006/relationships/hyperlink"/><Relationship Id="rId15" Target="media/image3.png" Type="http://schemas.openxmlformats.org/officeDocument/2006/relationships/image"/><Relationship Id="rId16" Target="media/image4.png" Type="http://schemas.openxmlformats.org/officeDocument/2006/relationships/image"/><Relationship Id="rId17" Target="https://arxiv.org/abs/2307.03371" TargetMode="External" Type="http://schemas.openxmlformats.org/officeDocument/2006/relationships/hyperlink"/><Relationship Id="rId18" Target="media/image5.png" Type="http://schemas.openxmlformats.org/officeDocument/2006/relationships/image"/><Relationship Id="rId19" Target="https://zhuanlan.zhihu.com/p/628467095" TargetMode="External" Type="http://schemas.openxmlformats.org/officeDocument/2006/relationships/hyperlink"/><Relationship Id="rId2" Target="styles.xml" Type="http://schemas.openxmlformats.org/officeDocument/2006/relationships/styles"/><Relationship Id="rId20" Target="https://www.zhihu.com/question/582718387?write" TargetMode="External" Type="http://schemas.openxmlformats.org/officeDocument/2006/relationships/hyperlink"/><Relationship Id="rId21" Target="https://github.com/LiyingCheng95/ArgumentPairExtraction" TargetMode="External" Type="http://schemas.openxmlformats.org/officeDocument/2006/relationships/hyperlink"/><Relationship Id="rId22" Target="https://dl.acm.org/doi/abs/10.1145/3449149" TargetMode="External" Type="http://schemas.openxmlformats.org/officeDocument/2006/relationships/hyperlink"/><Relationship Id="rId23" Target="https://www.pnas.org/doi/full/10.1073/pnas.1707323114" TargetMode="External" Type="http://schemas.openxmlformats.org/officeDocument/2006/relationships/hyperlink"/><Relationship Id="rId24" Target="https://aclanthology.org/2021.acl-long.496/" TargetMode="External" Type="http://schemas.openxmlformats.org/officeDocument/2006/relationships/hyperlink"/><Relationship Id="rId25" Target="header1.xml" Type="http://schemas.openxmlformats.org/officeDocument/2006/relationships/header"/><Relationship Id="rId3" Target="footer1.xml" Type="http://schemas.openxmlformats.org/officeDocument/2006/relationships/footer"/><Relationship Id="rId4" Target="https://arxiv.org/abs/2311.03998" TargetMode="External" Type="http://schemas.openxmlformats.org/officeDocument/2006/relationships/hyperlink"/><Relationship Id="rId5" Target="numbering.xml" Type="http://schemas.openxmlformats.org/officeDocument/2006/relationships/numbering"/><Relationship Id="rId6" Target="embeddings/Microsoft_Excel_Worksheet1.xlsx" Type="http://schemas.openxmlformats.org/officeDocument/2006/relationships/package"/><Relationship Id="rId7" Target="media/image1.png" Type="http://schemas.openxmlformats.org/officeDocument/2006/relationships/image"/><Relationship Id="rId8" Target="https://arxiv.org/abs/2505.07920" TargetMode="External" Type="http://schemas.openxmlformats.org/officeDocument/2006/relationships/hyperlink"/><Relationship Id="rId9" Target="https://aclanthology.org/N18-114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2025-07-08T15:56:24Z</dcterms:created>
  <dc:creator>Apache POI</dc:creator>
</cp:coreProperties>
</file>