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EB8FE">
      <w:pPr>
        <w:pStyle w:val="4"/>
      </w:pPr>
      <w:r>
        <w:t>无人机低空航拍图像语义分割</w:t>
      </w:r>
    </w:p>
    <w:p w14:paraId="64014877">
      <w:pPr>
        <w:pStyle w:val="3"/>
      </w:pPr>
      <w:r>
        <w:t>技术报告｜HyperSeg-UAV</w:t>
      </w:r>
    </w:p>
    <w:p w14:paraId="135C4AC2">
      <w:pPr>
        <w:pStyle w:val="3"/>
      </w:pPr>
      <w:r>
        <w:t>报告日期：2026年9月20日</w:t>
      </w:r>
    </w:p>
    <w:p w14:paraId="4D8282C5">
      <w:pPr>
        <w:pStyle w:val="7"/>
      </w:pPr>
      <w:r>
        <w:t>一、算法概述</w:t>
      </w:r>
    </w:p>
    <w:p w14:paraId="67CDAAAA">
      <w:r>
        <w:t>本项目面向无人机低空航拍图像的像素级地物识别，围绕目标尺度差异大、场景组成复杂、类别分布不均衡及细小目标易漏分等问题，构建以 HyperSeg 为主线的语义分割方案。模型输入 RGB 图像，输出背景、建筑、道路、水体、裸地、植被、农田和车辆八类有效地物，忽略标签不参与主要监督与评价。算法采用层次化视觉编码器提取多尺度特征，通过场景上下文生成特征调制参数和尺度融合权重，再结合卷积解码器、语义预测头与边界辅助监督完成分割。基础版本采用 MiT-B3，增强实验将骨干替换为 Swin-L，并通过通道投影复用 HyperSeg 解码路径。训练结合随机缩放、场景与稀有类裁剪、复合损失和分组学习率，评估采用固定数据划分与全数据集混淆矩阵。已完成的 HyperSeg 骨干增强实验在699张有标注独立测试图像上取得78.73%的八类mIoU。方案具备从训练、验证到掩码导出的完整流程，可为低空巡检、地表覆盖调查和农业场景分析提供像素级信息基础</w:t>
      </w:r>
      <w:bookmarkStart w:id="0" w:name="_GoBack"/>
      <w:bookmarkEnd w:id="0"/>
      <w:r>
        <w:t>。</w:t>
      </w:r>
    </w:p>
    <w:p w14:paraId="3B27CABC">
      <w:pPr>
        <w:pStyle w:val="8"/>
      </w:pPr>
      <w:r>
        <w:t>报告范围与成果口径</w:t>
      </w:r>
    </w:p>
    <w:p w14:paraId="244A800B">
      <w:r>
        <w:t>本文以项目自研 HyperSeg-UAV 单图监督分割路径为核心，按数据处理、算法设计、训练优化和验证交付展开。Swin-L 是该路径的骨干增强实现；Mask2Former 是参考对照。文中78.73%属于 Swin-L + HyperSeg（H3）实验，不代表 MiT-B3 基础版本的成绩，也不是无标注比赛测试集的官方成绩。</w:t>
      </w:r>
    </w:p>
    <w:p w14:paraId="42CF1F3E">
      <w:r>
        <w:t>成果依据为当前代码、固定划分及已下载日志。应用价值属于可支持的业务方向，尚无实际部署收益、端侧速度或官方竞赛排名记录。团队姓名及缺乏原始记录的早期日期保留待补充。</w:t>
      </w:r>
    </w:p>
    <w:p w14:paraId="341503A8">
      <w:r>
        <w:br w:type="page"/>
      </w:r>
    </w:p>
    <w:p w14:paraId="249E6C33">
      <w:pPr>
        <w:pStyle w:val="7"/>
      </w:pPr>
      <w:r>
        <w:t>二、实现方案</w:t>
      </w:r>
    </w:p>
    <w:p w14:paraId="590460CB">
      <w:pPr>
        <w:pStyle w:val="8"/>
      </w:pPr>
      <w:r>
        <w:t>2.1 任务定义与数据组织</w:t>
      </w:r>
    </w:p>
    <w:p w14:paraId="1D9E1F15">
      <w:r>
        <w:t>主数据集为 low_altitude_2026。本地核对有标注图像及掩码各6996个PNG文件，固定划分包含训练5598张、验证699张、测试699张，三个ID集合两两无交集。训练目录是有标注样本的存放位置，具体用途由划分清单决定。文件名互斥并不能证明不存在相邻航拍帧或同场景相关性。</w:t>
      </w:r>
    </w:p>
    <w:tbl>
      <w:tblPr>
        <w:tblStyle w:val="5"/>
        <w:tblW w:w="9600" w:type="dxa"/>
        <w:tblInd w:w="0" w:type="dxa"/>
        <w:tblBorders>
          <w:top w:val="single" w:color="CDD5DF" w:sz="4" w:space="0"/>
          <w:left w:val="single" w:color="CDD5DF" w:sz="4" w:space="0"/>
          <w:bottom w:val="single" w:color="CDD5DF" w:sz="4" w:space="0"/>
          <w:right w:val="single" w:color="CDD5DF" w:sz="4" w:space="0"/>
          <w:insideH w:val="single" w:color="CDD5DF" w:sz="4" w:space="0"/>
          <w:insideV w:val="single" w:color="CDD5DF" w:sz="4" w:space="0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2800"/>
        <w:gridCol w:w="1000"/>
        <w:gridCol w:w="5800"/>
      </w:tblGrid>
      <w:tr w14:paraId="7E43BABE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  <w:tblHeader/>
        </w:trPr>
        <w:tc>
          <w:tcPr>
            <w:tcW w:w="2800" w:type="dxa"/>
            <w:shd w:val="clear" w:color="auto" w:fill="E8EEF5"/>
          </w:tcPr>
          <w:p w14:paraId="3EB94D6C">
            <w:pPr>
              <w:pStyle w:val="10"/>
            </w:pPr>
            <w:r>
              <w:t>数据部分</w:t>
            </w:r>
          </w:p>
        </w:tc>
        <w:tc>
          <w:tcPr>
            <w:tcW w:w="1000" w:type="dxa"/>
            <w:shd w:val="clear" w:color="auto" w:fill="E8EEF5"/>
          </w:tcPr>
          <w:p w14:paraId="5D8EA9E8">
            <w:pPr>
              <w:pStyle w:val="10"/>
            </w:pPr>
            <w:r>
              <w:t>数量</w:t>
            </w:r>
          </w:p>
        </w:tc>
        <w:tc>
          <w:tcPr>
            <w:tcW w:w="5800" w:type="dxa"/>
            <w:shd w:val="clear" w:color="auto" w:fill="E8EEF5"/>
          </w:tcPr>
          <w:p w14:paraId="590AE565">
            <w:pPr>
              <w:pStyle w:val="10"/>
            </w:pPr>
            <w:r>
              <w:t>用途</w:t>
            </w:r>
          </w:p>
        </w:tc>
      </w:tr>
      <w:tr w14:paraId="29028273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2800" w:type="dxa"/>
          </w:tcPr>
          <w:p w14:paraId="66443170">
            <w:pPr>
              <w:pStyle w:val="9"/>
            </w:pPr>
            <w:r>
              <w:t>有标注训练划分</w:t>
            </w:r>
          </w:p>
        </w:tc>
        <w:tc>
          <w:tcPr>
            <w:tcW w:w="1000" w:type="dxa"/>
          </w:tcPr>
          <w:p w14:paraId="7C7BD238">
            <w:pPr>
              <w:pStyle w:val="9"/>
            </w:pPr>
            <w:r>
              <w:t>5598</w:t>
            </w:r>
          </w:p>
        </w:tc>
        <w:tc>
          <w:tcPr>
            <w:tcW w:w="5800" w:type="dxa"/>
          </w:tcPr>
          <w:p w14:paraId="56F4D4F0">
            <w:pPr>
              <w:pStyle w:val="9"/>
            </w:pPr>
            <w:r>
              <w:t>参数学习与训练增强</w:t>
            </w:r>
          </w:p>
        </w:tc>
      </w:tr>
      <w:tr w14:paraId="1ADFB878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2800" w:type="dxa"/>
          </w:tcPr>
          <w:p w14:paraId="17111AD5">
            <w:pPr>
              <w:pStyle w:val="9"/>
            </w:pPr>
            <w:r>
              <w:t>有标注验证划分</w:t>
            </w:r>
          </w:p>
        </w:tc>
        <w:tc>
          <w:tcPr>
            <w:tcW w:w="1000" w:type="dxa"/>
          </w:tcPr>
          <w:p w14:paraId="20C38CE2">
            <w:pPr>
              <w:pStyle w:val="9"/>
            </w:pPr>
            <w:r>
              <w:t>699</w:t>
            </w:r>
          </w:p>
        </w:tc>
        <w:tc>
          <w:tcPr>
            <w:tcW w:w="5800" w:type="dxa"/>
          </w:tcPr>
          <w:p w14:paraId="70D7AD38">
            <w:pPr>
              <w:pStyle w:val="9"/>
            </w:pPr>
            <w:r>
              <w:t>选择最佳checkpoint</w:t>
            </w:r>
          </w:p>
        </w:tc>
      </w:tr>
      <w:tr w14:paraId="614BEFA9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2800" w:type="dxa"/>
          </w:tcPr>
          <w:p w14:paraId="32D01335">
            <w:pPr>
              <w:pStyle w:val="9"/>
            </w:pPr>
            <w:r>
              <w:t>有标注独立测试划分</w:t>
            </w:r>
          </w:p>
        </w:tc>
        <w:tc>
          <w:tcPr>
            <w:tcW w:w="1000" w:type="dxa"/>
          </w:tcPr>
          <w:p w14:paraId="3F15AA6F">
            <w:pPr>
              <w:pStyle w:val="9"/>
            </w:pPr>
            <w:r>
              <w:t>699</w:t>
            </w:r>
          </w:p>
        </w:tc>
        <w:tc>
          <w:tcPr>
            <w:tcW w:w="5800" w:type="dxa"/>
          </w:tcPr>
          <w:p w14:paraId="6E346956">
            <w:pPr>
              <w:pStyle w:val="9"/>
            </w:pPr>
            <w:r>
              <w:t>最终离线评价，不参与选模</w:t>
            </w:r>
          </w:p>
        </w:tc>
      </w:tr>
      <w:tr w14:paraId="3C5CCCB5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2800" w:type="dxa"/>
          </w:tcPr>
          <w:p w14:paraId="7E7C6A85">
            <w:pPr>
              <w:pStyle w:val="9"/>
            </w:pPr>
            <w:r>
              <w:t>无标注比赛图像</w:t>
            </w:r>
          </w:p>
        </w:tc>
        <w:tc>
          <w:tcPr>
            <w:tcW w:w="1000" w:type="dxa"/>
          </w:tcPr>
          <w:p w14:paraId="6B976043">
            <w:pPr>
              <w:pStyle w:val="9"/>
            </w:pPr>
            <w:r>
              <w:t>500</w:t>
            </w:r>
          </w:p>
        </w:tc>
        <w:tc>
          <w:tcPr>
            <w:tcW w:w="5800" w:type="dxa"/>
          </w:tcPr>
          <w:p w14:paraId="1B9C37F4">
            <w:pPr>
              <w:pStyle w:val="9"/>
            </w:pPr>
            <w:r>
              <w:t>导出提交掩码，不能计算mIoU</w:t>
            </w:r>
          </w:p>
        </w:tc>
      </w:tr>
    </w:tbl>
    <w:p w14:paraId="0902AE88">
      <w:pPr>
        <w:pStyle w:val="2"/>
      </w:pPr>
    </w:p>
    <w:tbl>
      <w:tblPr>
        <w:tblStyle w:val="5"/>
        <w:tblW w:w="9600" w:type="dxa"/>
        <w:tblInd w:w="0" w:type="dxa"/>
        <w:tblBorders>
          <w:top w:val="single" w:color="CDD5DF" w:sz="4" w:space="0"/>
          <w:left w:val="single" w:color="CDD5DF" w:sz="4" w:space="0"/>
          <w:bottom w:val="single" w:color="CDD5DF" w:sz="4" w:space="0"/>
          <w:right w:val="single" w:color="CDD5DF" w:sz="4" w:space="0"/>
          <w:insideH w:val="single" w:color="CDD5DF" w:sz="4" w:space="0"/>
          <w:insideV w:val="single" w:color="CDD5DF" w:sz="4" w:space="0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1400"/>
        <w:gridCol w:w="5100"/>
        <w:gridCol w:w="3100"/>
      </w:tblGrid>
      <w:tr w14:paraId="67882BC7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E8EEF5"/>
          </w:tcPr>
          <w:p w14:paraId="367098C3">
            <w:pPr>
              <w:pStyle w:val="10"/>
            </w:pPr>
            <w:r>
              <w:t>标签ID</w:t>
            </w:r>
          </w:p>
        </w:tc>
        <w:tc>
          <w:tcPr>
            <w:tcW w:w="5100" w:type="dxa"/>
            <w:shd w:val="clear" w:color="auto" w:fill="E8EEF5"/>
          </w:tcPr>
          <w:p w14:paraId="1F198766">
            <w:pPr>
              <w:pStyle w:val="10"/>
            </w:pPr>
            <w:r>
              <w:t>类别</w:t>
            </w:r>
          </w:p>
        </w:tc>
        <w:tc>
          <w:tcPr>
            <w:tcW w:w="3100" w:type="dxa"/>
            <w:shd w:val="clear" w:color="auto" w:fill="E8EEF5"/>
          </w:tcPr>
          <w:p w14:paraId="6BD0CC81">
            <w:pPr>
              <w:pStyle w:val="10"/>
            </w:pPr>
            <w:r>
              <w:t>评价规则</w:t>
            </w:r>
          </w:p>
        </w:tc>
      </w:tr>
      <w:tr w14:paraId="5485A7DC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1400" w:type="dxa"/>
          </w:tcPr>
          <w:p w14:paraId="2B5647E1">
            <w:pPr>
              <w:pStyle w:val="9"/>
            </w:pPr>
            <w:r>
              <w:t>0</w:t>
            </w:r>
          </w:p>
        </w:tc>
        <w:tc>
          <w:tcPr>
            <w:tcW w:w="5100" w:type="dxa"/>
          </w:tcPr>
          <w:p w14:paraId="0C692484">
            <w:pPr>
              <w:pStyle w:val="9"/>
            </w:pPr>
            <w:r>
              <w:t>Ignore／忽略区域</w:t>
            </w:r>
          </w:p>
        </w:tc>
        <w:tc>
          <w:tcPr>
            <w:tcW w:w="3100" w:type="dxa"/>
          </w:tcPr>
          <w:p w14:paraId="308C9CA7">
            <w:pPr>
              <w:pStyle w:val="9"/>
            </w:pPr>
            <w:r>
              <w:t>真实标签为0的像素排除</w:t>
            </w:r>
          </w:p>
        </w:tc>
      </w:tr>
      <w:tr w14:paraId="64272A6C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1400" w:type="dxa"/>
          </w:tcPr>
          <w:p w14:paraId="4581D50A">
            <w:pPr>
              <w:pStyle w:val="9"/>
            </w:pPr>
            <w:r>
              <w:t>1 / 2</w:t>
            </w:r>
          </w:p>
        </w:tc>
        <w:tc>
          <w:tcPr>
            <w:tcW w:w="5100" w:type="dxa"/>
          </w:tcPr>
          <w:p w14:paraId="293E152B">
            <w:pPr>
              <w:pStyle w:val="9"/>
            </w:pPr>
            <w:r>
              <w:t>Background／背景；Building／建筑</w:t>
            </w:r>
          </w:p>
        </w:tc>
        <w:tc>
          <w:tcPr>
            <w:tcW w:w="3100" w:type="dxa"/>
          </w:tcPr>
          <w:p w14:paraId="7856571B">
            <w:pPr>
              <w:pStyle w:val="9"/>
            </w:pPr>
            <w:r>
              <w:t>计入八类mIoU</w:t>
            </w:r>
          </w:p>
        </w:tc>
      </w:tr>
      <w:tr w14:paraId="13E3BF77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1400" w:type="dxa"/>
          </w:tcPr>
          <w:p w14:paraId="49004941">
            <w:pPr>
              <w:pStyle w:val="9"/>
            </w:pPr>
            <w:r>
              <w:t>3 / 4</w:t>
            </w:r>
          </w:p>
        </w:tc>
        <w:tc>
          <w:tcPr>
            <w:tcW w:w="5100" w:type="dxa"/>
          </w:tcPr>
          <w:p w14:paraId="4F3167A8">
            <w:pPr>
              <w:pStyle w:val="9"/>
            </w:pPr>
            <w:r>
              <w:t>Road／道路；Water／水体</w:t>
            </w:r>
          </w:p>
        </w:tc>
        <w:tc>
          <w:tcPr>
            <w:tcW w:w="3100" w:type="dxa"/>
          </w:tcPr>
          <w:p w14:paraId="7B80C164">
            <w:pPr>
              <w:pStyle w:val="9"/>
            </w:pPr>
            <w:r>
              <w:t>计入八类mIoU</w:t>
            </w:r>
          </w:p>
        </w:tc>
      </w:tr>
      <w:tr w14:paraId="68121DBB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1400" w:type="dxa"/>
          </w:tcPr>
          <w:p w14:paraId="2CDE9EB3">
            <w:pPr>
              <w:pStyle w:val="9"/>
            </w:pPr>
            <w:r>
              <w:t>5 / 6</w:t>
            </w:r>
          </w:p>
        </w:tc>
        <w:tc>
          <w:tcPr>
            <w:tcW w:w="5100" w:type="dxa"/>
          </w:tcPr>
          <w:p w14:paraId="0DF85F9D">
            <w:pPr>
              <w:pStyle w:val="9"/>
            </w:pPr>
            <w:r>
              <w:t>Barren／裸地；Vegetation／植被</w:t>
            </w:r>
          </w:p>
        </w:tc>
        <w:tc>
          <w:tcPr>
            <w:tcW w:w="3100" w:type="dxa"/>
          </w:tcPr>
          <w:p w14:paraId="229084EA">
            <w:pPr>
              <w:pStyle w:val="9"/>
            </w:pPr>
            <w:r>
              <w:t>计入八类mIoU</w:t>
            </w:r>
          </w:p>
        </w:tc>
      </w:tr>
      <w:tr w14:paraId="3C832AED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1400" w:type="dxa"/>
          </w:tcPr>
          <w:p w14:paraId="4354CCC4">
            <w:pPr>
              <w:pStyle w:val="9"/>
            </w:pPr>
            <w:r>
              <w:t>7 / 8</w:t>
            </w:r>
          </w:p>
        </w:tc>
        <w:tc>
          <w:tcPr>
            <w:tcW w:w="5100" w:type="dxa"/>
          </w:tcPr>
          <w:p w14:paraId="67DA2488">
            <w:pPr>
              <w:pStyle w:val="9"/>
            </w:pPr>
            <w:r>
              <w:t>Agricultural／农田；Vehicle／车辆</w:t>
            </w:r>
          </w:p>
        </w:tc>
        <w:tc>
          <w:tcPr>
            <w:tcW w:w="3100" w:type="dxa"/>
          </w:tcPr>
          <w:p w14:paraId="6E08CCC2">
            <w:pPr>
              <w:pStyle w:val="9"/>
            </w:pPr>
            <w:r>
              <w:t>计入八类mIoU</w:t>
            </w:r>
          </w:p>
        </w:tc>
      </w:tr>
    </w:tbl>
    <w:p w14:paraId="0CBECBC7">
      <w:pPr>
        <w:pStyle w:val="2"/>
      </w:pPr>
    </w:p>
    <w:p w14:paraId="2C0B0D58">
      <w:pPr>
        <w:pStyle w:val="8"/>
      </w:pPr>
      <w:r>
        <w:t>2.2 数据预处理与增强</w:t>
      </w:r>
    </w:p>
    <w:p w14:paraId="3E0D2CFC">
      <w:r>
        <w:t>训练从0.5、0.75、1.0、1.25、1.5中随机选择缩放比例，再进行随机裁剪；以默认0.3概率尝试包含至少三种有效类别或包含裸地、农田、车辆的区域。水平和垂直翻转概率均为0.5，并叠加亮度、对比度及颜色扰动，以增加方向、尺度和成像条件的变化。</w:t>
      </w:r>
    </w:p>
    <w:p w14:paraId="1E7511F6">
      <w:r>
        <w:t>图像与标签共用几何变换参数，图像使用双线性插值，掩码使用最近邻插值，保持空间对齐及整数标签。基础数据集输出[0,1]浮点RGB。H3模型内执行ImageNet均值、标准差归一化，训练、评价和导出使用相同模型路径，避免重复标准化。</w:t>
      </w:r>
    </w:p>
    <w:p w14:paraId="5B4F928A">
      <w:r>
        <w:br w:type="page"/>
      </w:r>
    </w:p>
    <w:p w14:paraId="67029F46">
      <w:pPr>
        <w:pStyle w:val="8"/>
      </w:pPr>
      <w:r>
        <w:t>2.3 HyperSeg模型设计</w:t>
      </w:r>
    </w:p>
    <w:p w14:paraId="45245C83">
      <w:r>
        <w:t>整体路径为：RGB图像 → 四级编码特征 → 场景条件提取 → 各尺度动态调制 → 多尺度动态融合 → 低秩残差接口 → 卷积解码 → 语义与边界双头。场景向量同时驱动调制、融合及残差参数生成，实现逐图像的条件化处理。</w:t>
      </w:r>
    </w:p>
    <w:tbl>
      <w:tblPr>
        <w:tblStyle w:val="5"/>
        <w:tblW w:w="9600" w:type="dxa"/>
        <w:tblInd w:w="0" w:type="dxa"/>
        <w:tblBorders>
          <w:top w:val="single" w:color="CDD5DF" w:sz="4" w:space="0"/>
          <w:left w:val="single" w:color="CDD5DF" w:sz="4" w:space="0"/>
          <w:bottom w:val="single" w:color="CDD5DF" w:sz="4" w:space="0"/>
          <w:right w:val="single" w:color="CDD5DF" w:sz="4" w:space="0"/>
          <w:insideH w:val="single" w:color="CDD5DF" w:sz="4" w:space="0"/>
          <w:insideV w:val="single" w:color="CDD5DF" w:sz="4" w:space="0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2000"/>
        <w:gridCol w:w="7600"/>
      </w:tblGrid>
      <w:tr w14:paraId="5A3BBF41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E8EEF5"/>
          </w:tcPr>
          <w:p w14:paraId="0F061C2F">
            <w:pPr>
              <w:pStyle w:val="10"/>
            </w:pPr>
            <w:r>
              <w:t>模块</w:t>
            </w:r>
          </w:p>
        </w:tc>
        <w:tc>
          <w:tcPr>
            <w:tcW w:w="7600" w:type="dxa"/>
            <w:shd w:val="clear" w:color="auto" w:fill="E8EEF5"/>
          </w:tcPr>
          <w:p w14:paraId="73C412CA">
            <w:pPr>
              <w:pStyle w:val="10"/>
            </w:pPr>
            <w:r>
              <w:t>具体实现与作用</w:t>
            </w:r>
          </w:p>
        </w:tc>
      </w:tr>
      <w:tr w14:paraId="57E961A6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2000" w:type="dxa"/>
          </w:tcPr>
          <w:p w14:paraId="31144E55">
            <w:pPr>
              <w:pStyle w:val="9"/>
            </w:pPr>
            <w:r>
              <w:t>层次化编码器</w:t>
            </w:r>
          </w:p>
        </w:tc>
        <w:tc>
          <w:tcPr>
            <w:tcW w:w="7600" w:type="dxa"/>
          </w:tcPr>
          <w:p w14:paraId="504EDB3D">
            <w:pPr>
              <w:pStyle w:val="9"/>
            </w:pPr>
            <w:r>
              <w:t>基础版本MiT-B3输出[64,128,320,512]通道；H3使用Swin-L，再以四个1×1卷积对齐至相同通道。</w:t>
            </w:r>
          </w:p>
        </w:tc>
      </w:tr>
      <w:tr w14:paraId="6B02C924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2000" w:type="dxa"/>
          </w:tcPr>
          <w:p w14:paraId="7AEC1897">
            <w:pPr>
              <w:pStyle w:val="9"/>
            </w:pPr>
            <w:r>
              <w:t>场景条件提取</w:t>
            </w:r>
          </w:p>
        </w:tc>
        <w:tc>
          <w:tcPr>
            <w:tcW w:w="7600" w:type="dxa"/>
          </w:tcPr>
          <w:p w14:paraId="0EBCB544">
            <w:pPr>
              <w:pStyle w:val="9"/>
            </w:pPr>
            <w:r>
              <w:t>各尺度投影到128维，全局平均池化后拼接，经MLP得到128维场景向量。</w:t>
            </w:r>
          </w:p>
        </w:tc>
      </w:tr>
      <w:tr w14:paraId="778A4240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2000" w:type="dxa"/>
          </w:tcPr>
          <w:p w14:paraId="13E284F1">
            <w:pPr>
              <w:pStyle w:val="9"/>
            </w:pPr>
            <w:r>
              <w:t>动态调制</w:t>
            </w:r>
          </w:p>
        </w:tc>
        <w:tc>
          <w:tcPr>
            <w:tcW w:w="7600" w:type="dxa"/>
          </w:tcPr>
          <w:p w14:paraId="6AC1EAD8">
            <w:pPr>
              <w:pStyle w:val="9"/>
            </w:pPr>
            <w:r>
              <w:t>由场景向量生成每个尺度的γ与β，对GroupNorm后的特征进行有界缩放和平移。</w:t>
            </w:r>
          </w:p>
        </w:tc>
      </w:tr>
      <w:tr w14:paraId="27A3384F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2000" w:type="dxa"/>
          </w:tcPr>
          <w:p w14:paraId="3010CB2D">
            <w:pPr>
              <w:pStyle w:val="9"/>
            </w:pPr>
            <w:r>
              <w:t>动态融合</w:t>
            </w:r>
          </w:p>
        </w:tc>
        <w:tc>
          <w:tcPr>
            <w:tcW w:w="7600" w:type="dxa"/>
          </w:tcPr>
          <w:p w14:paraId="3DCA0AF4">
            <w:pPr>
              <w:pStyle w:val="9"/>
            </w:pPr>
            <w:r>
              <w:t>各尺度投影到64通道并对齐到最高特征分辨率，按场景生成的四个softmax权重加权求和。</w:t>
            </w:r>
          </w:p>
        </w:tc>
      </w:tr>
      <w:tr w14:paraId="2F129F70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2000" w:type="dxa"/>
          </w:tcPr>
          <w:p w14:paraId="19BC60DA">
            <w:pPr>
              <w:pStyle w:val="9"/>
            </w:pPr>
            <w:r>
              <w:t>解码与输出</w:t>
            </w:r>
          </w:p>
        </w:tc>
        <w:tc>
          <w:tcPr>
            <w:tcW w:w="7600" w:type="dxa"/>
          </w:tcPr>
          <w:p w14:paraId="72ACC94C">
            <w:pPr>
              <w:pStyle w:val="9"/>
            </w:pPr>
            <w:r>
              <w:t>两组3×3卷积、BatchNorm、GELU；9通道语义头与1通道边界头；双线性上采样恢复输入尺寸。</w:t>
            </w:r>
          </w:p>
        </w:tc>
      </w:tr>
    </w:tbl>
    <w:p w14:paraId="715999F8">
      <w:pPr>
        <w:pStyle w:val="2"/>
      </w:pPr>
    </w:p>
    <w:p w14:paraId="04EB92C8">
      <w:pPr>
        <w:pStyle w:val="11"/>
      </w:pPr>
      <w:r>
        <w:t>动态调制定义为 F′ᵢ = GN(Fᵢ) × [1 + 0.15 tanh(γᵢ(c))] + 0.15 tanh(βᵢ(c))。其中c是场景向量，尺度系数限制条件参数幅度；零初始化使初始动态增量为零，初始输出为归一化特征。动态融合为 F = Σᵢ softmax(g(c))ᵢ × Resize(Pᵢ(F′ᵢ))。</w:t>
      </w:r>
    </w:p>
    <w:p w14:paraId="2C8767A3">
      <w:r>
        <w:t>低秩接口由场景向量生成秩为8的下投影与上投影矩阵，以0.1缩放系数添加残差。该接口是实现中的结构组成，其有效训练和独立增益尚需进一步核验；不据此宣称已获得参数效率或精度提升。</w:t>
      </w:r>
    </w:p>
    <w:p w14:paraId="6E928151">
      <w:pPr>
        <w:pStyle w:val="8"/>
      </w:pPr>
      <w:r>
        <w:t>2.4 多目标监督</w:t>
      </w:r>
    </w:p>
    <w:p w14:paraId="4B5591EC">
      <w:pPr>
        <w:pStyle w:val="11"/>
      </w:pPr>
      <w:r>
        <w:t>L = 0.55 L_focal-CE + 0.30 L_Dice + 0.025 L_rare + 0.10 L_boundary。</w:t>
      </w:r>
    </w:p>
    <w:p w14:paraId="496EAD51">
      <w:r>
        <w:t>Focal交叉熵采用γ=1.5，降低容易像素的贡献；Dice对当前批次实际出现的有效类别求平均；稀有类项累加裸地、农田和车辆目标像素的负对数概率；边界项通过相邻标签差异构造目标并计算BCE。主要损失在非Ignore像素上计算，当前训练不额外传入类别权重。边界头用于辅助训练，最终类别掩码由语义头产生。</w:t>
      </w:r>
    </w:p>
    <w:p w14:paraId="25EC7662">
      <w:r>
        <w:br w:type="page"/>
      </w:r>
    </w:p>
    <w:p w14:paraId="1DEB66CB">
      <w:pPr>
        <w:pStyle w:val="8"/>
      </w:pPr>
      <w:r>
        <w:t>2.5 模型训练与优化</w:t>
      </w:r>
    </w:p>
    <w:p w14:paraId="5FA801C0">
      <w:r>
        <w:t>MiT-B3是HyperSeg基础骨干。为检验更强编码特征与既有动态解码路径的组合，H3接入ImageNet-22K预训练Swin-L，保留64通道融合及解码宽度。新增通道接口及下游模块重新初始化，不加载完整Mask2Former分割模型。以下参数来自H3实际运行配置与训练入口。</w:t>
      </w:r>
    </w:p>
    <w:tbl>
      <w:tblPr>
        <w:tblStyle w:val="5"/>
        <w:tblW w:w="9600" w:type="dxa"/>
        <w:tblInd w:w="0" w:type="dxa"/>
        <w:tblBorders>
          <w:top w:val="single" w:color="CDD5DF" w:sz="4" w:space="0"/>
          <w:left w:val="single" w:color="CDD5DF" w:sz="4" w:space="0"/>
          <w:bottom w:val="single" w:color="CDD5DF" w:sz="4" w:space="0"/>
          <w:right w:val="single" w:color="CDD5DF" w:sz="4" w:space="0"/>
          <w:insideH w:val="single" w:color="CDD5DF" w:sz="4" w:space="0"/>
          <w:insideV w:val="single" w:color="CDD5DF" w:sz="4" w:space="0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2700"/>
        <w:gridCol w:w="6900"/>
      </w:tblGrid>
      <w:tr w14:paraId="4D114C64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  <w:tblHeader/>
        </w:trPr>
        <w:tc>
          <w:tcPr>
            <w:tcW w:w="2700" w:type="dxa"/>
            <w:shd w:val="clear" w:color="auto" w:fill="E8EEF5"/>
          </w:tcPr>
          <w:p w14:paraId="3D50B189">
            <w:pPr>
              <w:pStyle w:val="10"/>
            </w:pPr>
            <w:r>
              <w:t>设置</w:t>
            </w:r>
          </w:p>
        </w:tc>
        <w:tc>
          <w:tcPr>
            <w:tcW w:w="6900" w:type="dxa"/>
            <w:shd w:val="clear" w:color="auto" w:fill="E8EEF5"/>
          </w:tcPr>
          <w:p w14:paraId="77532146">
            <w:pPr>
              <w:pStyle w:val="10"/>
            </w:pPr>
            <w:r>
              <w:t>H3实际配置</w:t>
            </w:r>
          </w:p>
        </w:tc>
      </w:tr>
      <w:tr w14:paraId="413E1165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2700" w:type="dxa"/>
          </w:tcPr>
          <w:p w14:paraId="417DEAF8">
            <w:pPr>
              <w:pStyle w:val="9"/>
            </w:pPr>
            <w:r>
              <w:t>裁剪 / 有效批量</w:t>
            </w:r>
          </w:p>
        </w:tc>
        <w:tc>
          <w:tcPr>
            <w:tcW w:w="6900" w:type="dxa"/>
          </w:tcPr>
          <w:p w14:paraId="025ACC77">
            <w:pPr>
              <w:pStyle w:val="9"/>
            </w:pPr>
            <w:r>
              <w:t>512×512 / 2；梯度累积1次</w:t>
            </w:r>
          </w:p>
        </w:tc>
      </w:tr>
      <w:tr w14:paraId="52370AB9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2700" w:type="dxa"/>
          </w:tcPr>
          <w:p w14:paraId="72623D45">
            <w:pPr>
              <w:pStyle w:val="9"/>
            </w:pPr>
            <w:r>
              <w:t>训练预算 / 随机种子</w:t>
            </w:r>
          </w:p>
        </w:tc>
        <w:tc>
          <w:tcPr>
            <w:tcW w:w="6900" w:type="dxa"/>
          </w:tcPr>
          <w:p w14:paraId="3727F7A0">
            <w:pPr>
              <w:pStyle w:val="9"/>
            </w:pPr>
            <w:r>
              <w:t>160000次优化器更新 / 3407</w:t>
            </w:r>
          </w:p>
        </w:tc>
      </w:tr>
      <w:tr w14:paraId="2AB49169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2700" w:type="dxa"/>
          </w:tcPr>
          <w:p w14:paraId="0452EE5D">
            <w:pPr>
              <w:pStyle w:val="9"/>
            </w:pPr>
            <w:r>
              <w:t>优化器</w:t>
            </w:r>
          </w:p>
        </w:tc>
        <w:tc>
          <w:tcPr>
            <w:tcW w:w="6900" w:type="dxa"/>
          </w:tcPr>
          <w:p w14:paraId="5FA90860">
            <w:pPr>
              <w:pStyle w:val="9"/>
            </w:pPr>
            <w:r>
              <w:t>AdamW；weight decay=0.01；betas=(0.9,0.999)</w:t>
            </w:r>
          </w:p>
        </w:tc>
      </w:tr>
      <w:tr w14:paraId="02AE9376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2700" w:type="dxa"/>
          </w:tcPr>
          <w:p w14:paraId="5BD59403">
            <w:pPr>
              <w:pStyle w:val="9"/>
            </w:pPr>
            <w:r>
              <w:t>学习率</w:t>
            </w:r>
          </w:p>
        </w:tc>
        <w:tc>
          <w:tcPr>
            <w:tcW w:w="6900" w:type="dxa"/>
          </w:tcPr>
          <w:p w14:paraId="149E647E">
            <w:pPr>
              <w:pStyle w:val="9"/>
            </w:pPr>
            <w:r>
              <w:t>骨干1×10⁻⁵；投影与HyperSeg下游模块1×10⁻⁴</w:t>
            </w:r>
          </w:p>
        </w:tc>
      </w:tr>
      <w:tr w14:paraId="082469F0">
        <w:tblPrEx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2700" w:type="dxa"/>
          </w:tcPr>
          <w:p w14:paraId="2FB33BF4">
            <w:pPr>
              <w:pStyle w:val="9"/>
            </w:pPr>
            <w:r>
              <w:t>调度与梯度约束</w:t>
            </w:r>
          </w:p>
        </w:tc>
        <w:tc>
          <w:tcPr>
            <w:tcW w:w="6900" w:type="dxa"/>
          </w:tcPr>
          <w:p w14:paraId="42F74ABD">
            <w:pPr>
              <w:pStyle w:val="9"/>
            </w:pPr>
            <w:r>
              <w:t>Poly衰减，power=0.9；全局梯度范数上限1.0</w:t>
            </w:r>
          </w:p>
        </w:tc>
      </w:tr>
      <w:tr w14:paraId="37A048D5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2700" w:type="dxa"/>
          </w:tcPr>
          <w:p w14:paraId="502496D6">
            <w:pPr>
              <w:pStyle w:val="9"/>
            </w:pPr>
            <w:r>
              <w:t>精度与显存策略</w:t>
            </w:r>
          </w:p>
        </w:tc>
        <w:tc>
          <w:tcPr>
            <w:tcW w:w="6900" w:type="dxa"/>
          </w:tcPr>
          <w:p w14:paraId="3321DE31">
            <w:pPr>
              <w:pStyle w:val="9"/>
            </w:pPr>
            <w:r>
              <w:t>FP32；启用骨干gradient checkpointing</w:t>
            </w:r>
          </w:p>
        </w:tc>
      </w:tr>
      <w:tr w14:paraId="59B0F89E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2700" w:type="dxa"/>
          </w:tcPr>
          <w:p w14:paraId="0F2B057B">
            <w:pPr>
              <w:pStyle w:val="9"/>
            </w:pPr>
            <w:r>
              <w:t>验证与选模</w:t>
            </w:r>
          </w:p>
        </w:tc>
        <w:tc>
          <w:tcPr>
            <w:tcW w:w="6900" w:type="dxa"/>
          </w:tcPr>
          <w:p w14:paraId="47A3BD5B">
            <w:pPr>
              <w:pStyle w:val="9"/>
            </w:pPr>
            <w:r>
              <w:t>每2800次更新验证，结束时额外验证；按验证mIoU保存best.pt</w:t>
            </w:r>
          </w:p>
        </w:tc>
      </w:tr>
      <w:tr w14:paraId="02C7D3BF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2700" w:type="dxa"/>
          </w:tcPr>
          <w:p w14:paraId="57A04F24">
            <w:pPr>
              <w:pStyle w:val="9"/>
            </w:pPr>
            <w:r>
              <w:t>评价尺度</w:t>
            </w:r>
          </w:p>
        </w:tc>
        <w:tc>
          <w:tcPr>
            <w:tcW w:w="6900" w:type="dxa"/>
          </w:tcPr>
          <w:p w14:paraId="13388AA0">
            <w:pPr>
              <w:pStyle w:val="9"/>
            </w:pPr>
            <w:r>
              <w:t>原始分辨率整图、batch=1、无TTA</w:t>
            </w:r>
          </w:p>
        </w:tc>
      </w:tr>
    </w:tbl>
    <w:p w14:paraId="02099E87">
      <w:pPr>
        <w:pStyle w:val="2"/>
      </w:pPr>
    </w:p>
    <w:p w14:paraId="068FE405">
      <w:pPr>
        <w:ind w:left="0" w:leftChars="0" w:firstLine="0" w:firstLineChars="0"/>
      </w:pPr>
    </w:p>
    <w:p w14:paraId="02843584">
      <w:pPr>
        <w:pStyle w:val="7"/>
      </w:pPr>
      <w:r>
        <w:t>三、算法创新点</w:t>
      </w:r>
    </w:p>
    <w:p w14:paraId="243A4714">
      <w:pPr>
        <w:pStyle w:val="8"/>
      </w:pPr>
      <w:r>
        <w:t>3.1 面向场景差异的条件化分割路径</w:t>
      </w:r>
    </w:p>
    <w:p w14:paraId="7277AAE6">
      <w:r>
        <w:t>在多尺度编码与解码之间引入场景上下文，使同一模型能够为不同图像生成调制参数和尺度融合权重。该设计将航拍场景组成信息显式引入特征处理，适用于道路、建筑群、植被与农田等组成差异明显的画面；实际增益需通过关闭调制、改为固定融合等受控实验量化。</w:t>
      </w:r>
    </w:p>
    <w:p w14:paraId="05203911">
      <w:pPr>
        <w:pStyle w:val="8"/>
      </w:pPr>
      <w:r>
        <w:t>3.2 面向尺度与类别差异的联合优化</w:t>
      </w:r>
    </w:p>
    <w:p w14:paraId="4ABF0D7F">
      <w:r>
        <w:t>多尺度特征融合保留较高分辨率细节并引入深层语义；训练侧结合场景／稀有类裁剪、Focal、Dice和稀有类补充项，关注大面积常见地物与小面积目标之间的监督差异。边界辅助头增加相邻类别交界处的训练约束。上述策略构成项目的组合设计，不将其中通用方法宣称为首创。</w:t>
      </w:r>
    </w:p>
    <w:p w14:paraId="01194272">
      <w:pPr>
        <w:pStyle w:val="8"/>
      </w:pPr>
      <w:r>
        <w:t>3.3 可替换骨干的HyperSeg实现</w:t>
      </w:r>
    </w:p>
    <w:p w14:paraId="38303C80">
      <w:r>
        <w:t>通过明确的四级通道接口，使MiT-B3基础实现与Swin-L增强实现共用HyperSeg动态解码路径。H3保持融合及卷积解码宽度不变，支持后续以统一协议研究骨干与动态模块的贡献。当前完成的是完整方案验证，尚未形成所有模块的独立消融证据。</w:t>
      </w:r>
    </w:p>
    <w:p w14:paraId="0D5C8BE4">
      <w:pPr>
        <w:pStyle w:val="7"/>
      </w:pPr>
      <w:r>
        <w:t>四、问题与思考</w:t>
      </w:r>
    </w:p>
    <w:p w14:paraId="29A0770F">
      <w:r>
        <w:t>（1）弱类与场景混淆。裸地IoU明显低于其他地物。下一步应检查裸地—背景、裸地—农田混淆样本及标注一致性，在验证集上评估定向裁剪与类别重加权，不以测试集反复选择策略。</w:t>
      </w:r>
    </w:p>
    <w:p w14:paraId="7881A9D4">
      <w:r>
        <w:t>（2）细节与边界评价不足。像素mIoU不能完整反映窄道路连通性或车辆实例遗漏。可补充具有明确容差的边界指标及小目标分组评价，并固定评价定义。</w:t>
      </w:r>
    </w:p>
    <w:p w14:paraId="55446ECA">
      <w:r>
        <w:t>（3）模块有效性需验证。低秩接口当前同时零初始化上下投影生成参数，双线性乘积可能出现零梯度起点，应专项核验梯度与checkpoint中的实际激活，再设计单侧非零初始化的独立实验；本报告不将该分支视为已验证收益来源。</w:t>
      </w:r>
    </w:p>
    <w:p w14:paraId="2DF03071">
      <w:r>
        <w:t>（4）泛化与效率证据有限。当前H3为单种子结果，后续需补齐同协议MiT-B3基线、多种子复现和按场景分组验证；尚未测得规范的端侧延迟，不声称实时部署能力。原型记忆、在线写入和三视图TTA尚未在本文主路径实现，列为后续探索。</w:t>
      </w:r>
    </w:p>
    <w:p w14:paraId="3EB1710B">
      <w:pPr>
        <w:ind w:left="0" w:leftChars="0" w:firstLine="0" w:firstLineChars="0"/>
      </w:pPr>
    </w:p>
    <w:p w14:paraId="6E256896">
      <w:pPr>
        <w:pStyle w:val="7"/>
      </w:pPr>
      <w:r>
        <w:t>五、过程进度</w:t>
      </w:r>
    </w:p>
    <w:p w14:paraId="4509835C">
      <w:r>
        <w:t>以下按现有日志重建阶段记录。早期工作的完整起止日期未保留，表内据实标注；正式对外提交前可由团队补齐。当前报告不代表已完成比赛平台提交。</w:t>
      </w:r>
    </w:p>
    <w:tbl>
      <w:tblPr>
        <w:tblStyle w:val="5"/>
        <w:tblW w:w="9600" w:type="dxa"/>
        <w:tblInd w:w="0" w:type="dxa"/>
        <w:tblBorders>
          <w:top w:val="single" w:color="CDD5DF" w:sz="4" w:space="0"/>
          <w:left w:val="single" w:color="CDD5DF" w:sz="4" w:space="0"/>
          <w:bottom w:val="single" w:color="CDD5DF" w:sz="4" w:space="0"/>
          <w:right w:val="single" w:color="CDD5DF" w:sz="4" w:space="0"/>
          <w:insideH w:val="single" w:color="CDD5DF" w:sz="4" w:space="0"/>
          <w:insideV w:val="single" w:color="CDD5DF" w:sz="4" w:space="0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1500"/>
        <w:gridCol w:w="1700"/>
        <w:gridCol w:w="1900"/>
        <w:gridCol w:w="4500"/>
      </w:tblGrid>
      <w:tr w14:paraId="65342C25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EEF5"/>
          </w:tcPr>
          <w:p w14:paraId="00457472">
            <w:pPr>
              <w:pStyle w:val="10"/>
            </w:pPr>
            <w:r>
              <w:t>阶段</w:t>
            </w:r>
          </w:p>
        </w:tc>
        <w:tc>
          <w:tcPr>
            <w:tcW w:w="1700" w:type="dxa"/>
            <w:shd w:val="clear" w:color="auto" w:fill="E8EEF5"/>
          </w:tcPr>
          <w:p w14:paraId="78C65CAA">
            <w:pPr>
              <w:pStyle w:val="10"/>
            </w:pPr>
            <w:r>
              <w:t>开始时间</w:t>
            </w:r>
          </w:p>
        </w:tc>
        <w:tc>
          <w:tcPr>
            <w:tcW w:w="1900" w:type="dxa"/>
            <w:shd w:val="clear" w:color="auto" w:fill="E8EEF5"/>
          </w:tcPr>
          <w:p w14:paraId="60E1A941">
            <w:pPr>
              <w:pStyle w:val="10"/>
            </w:pPr>
            <w:r>
              <w:t>结束时间</w:t>
            </w:r>
          </w:p>
        </w:tc>
        <w:tc>
          <w:tcPr>
            <w:tcW w:w="4500" w:type="dxa"/>
            <w:shd w:val="clear" w:color="auto" w:fill="E8EEF5"/>
          </w:tcPr>
          <w:p w14:paraId="7A0E2C56">
            <w:pPr>
              <w:pStyle w:val="10"/>
            </w:pPr>
            <w:r>
              <w:t>完成内容</w:t>
            </w:r>
          </w:p>
        </w:tc>
      </w:tr>
      <w:tr w14:paraId="2B7DC1FC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1500" w:type="dxa"/>
          </w:tcPr>
          <w:p w14:paraId="7DA4D756">
            <w:pPr>
              <w:pStyle w:val="9"/>
            </w:pPr>
            <w:r>
              <w:t>数据准备</w:t>
            </w:r>
          </w:p>
        </w:tc>
        <w:tc>
          <w:tcPr>
            <w:tcW w:w="1700" w:type="dxa"/>
          </w:tcPr>
          <w:p w14:paraId="54AE6522">
            <w:pPr>
              <w:pStyle w:val="9"/>
            </w:pPr>
            <w:r>
              <w:t>早期日期待补充</w:t>
            </w:r>
          </w:p>
        </w:tc>
        <w:tc>
          <w:tcPr>
            <w:tcW w:w="1900" w:type="dxa"/>
          </w:tcPr>
          <w:p w14:paraId="5C7875B7">
            <w:pPr>
              <w:pStyle w:val="9"/>
            </w:pPr>
            <w:r>
              <w:t>2026-09-16已有记录</w:t>
            </w:r>
          </w:p>
        </w:tc>
        <w:tc>
          <w:tcPr>
            <w:tcW w:w="4500" w:type="dxa"/>
          </w:tcPr>
          <w:p w14:paraId="7CD8F87E">
            <w:pPr>
              <w:pStyle w:val="9"/>
            </w:pPr>
            <w:r>
              <w:t>恢复固定划分，明确有标注训练／验证／测试与无标注比赛目录；本次核对6996张有标注数据。</w:t>
            </w:r>
          </w:p>
        </w:tc>
      </w:tr>
      <w:tr w14:paraId="5443D867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1500" w:type="dxa"/>
          </w:tcPr>
          <w:p w14:paraId="0DEEC146">
            <w:pPr>
              <w:pStyle w:val="9"/>
            </w:pPr>
            <w:r>
              <w:t>HyperSeg基础设计与开发</w:t>
            </w:r>
          </w:p>
        </w:tc>
        <w:tc>
          <w:tcPr>
            <w:tcW w:w="1700" w:type="dxa"/>
          </w:tcPr>
          <w:p w14:paraId="563613BC">
            <w:pPr>
              <w:pStyle w:val="9"/>
            </w:pPr>
            <w:r>
              <w:t>日期待补充</w:t>
            </w:r>
          </w:p>
        </w:tc>
        <w:tc>
          <w:tcPr>
            <w:tcW w:w="1900" w:type="dxa"/>
          </w:tcPr>
          <w:p w14:paraId="6EEBE30F">
            <w:pPr>
              <w:pStyle w:val="9"/>
            </w:pPr>
            <w:r>
              <w:t>2026-09-16前已有实现</w:t>
            </w:r>
          </w:p>
        </w:tc>
        <w:tc>
          <w:tcPr>
            <w:tcW w:w="4500" w:type="dxa"/>
          </w:tcPr>
          <w:p w14:paraId="6E7B9295">
            <w:pPr>
              <w:pStyle w:val="9"/>
            </w:pPr>
            <w:r>
              <w:t>MiT-B3编码、场景条件调制、动态融合、低秩接口及双头监督；训练、测试、导出入口。</w:t>
            </w:r>
          </w:p>
        </w:tc>
      </w:tr>
      <w:tr w14:paraId="567CDF36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1500" w:type="dxa"/>
          </w:tcPr>
          <w:p w14:paraId="3B5BA4C3">
            <w:pPr>
              <w:pStyle w:val="9"/>
            </w:pPr>
            <w:r>
              <w:t>骨干增强与运行准备</w:t>
            </w:r>
          </w:p>
        </w:tc>
        <w:tc>
          <w:tcPr>
            <w:tcW w:w="1700" w:type="dxa"/>
          </w:tcPr>
          <w:p w14:paraId="639425D0">
            <w:pPr>
              <w:pStyle w:val="9"/>
            </w:pPr>
            <w:r>
              <w:t>具体日期待补充</w:t>
            </w:r>
          </w:p>
        </w:tc>
        <w:tc>
          <w:tcPr>
            <w:tcW w:w="1900" w:type="dxa"/>
          </w:tcPr>
          <w:p w14:paraId="18B0FB40">
            <w:pPr>
              <w:pStyle w:val="9"/>
            </w:pPr>
            <w:r>
              <w:t>2026-09-18</w:t>
            </w:r>
          </w:p>
        </w:tc>
        <w:tc>
          <w:tcPr>
            <w:tcW w:w="4500" w:type="dxa"/>
          </w:tcPr>
          <w:p w14:paraId="122726FB">
            <w:pPr>
              <w:pStyle w:val="9"/>
            </w:pPr>
            <w:r>
              <w:t>接入Swin-L与通道投影，核验预训练加载并进行运行检查。</w:t>
            </w:r>
          </w:p>
        </w:tc>
      </w:tr>
      <w:tr w14:paraId="6CA0FA6C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1500" w:type="dxa"/>
          </w:tcPr>
          <w:p w14:paraId="1975824E">
            <w:pPr>
              <w:pStyle w:val="9"/>
            </w:pPr>
            <w:r>
              <w:t>H3正式训练与验证</w:t>
            </w:r>
          </w:p>
        </w:tc>
        <w:tc>
          <w:tcPr>
            <w:tcW w:w="1700" w:type="dxa"/>
          </w:tcPr>
          <w:p w14:paraId="25A1B710">
            <w:pPr>
              <w:pStyle w:val="9"/>
            </w:pPr>
            <w:r>
              <w:t>2026-09-18 16:43</w:t>
            </w:r>
          </w:p>
        </w:tc>
        <w:tc>
          <w:tcPr>
            <w:tcW w:w="1900" w:type="dxa"/>
          </w:tcPr>
          <w:p w14:paraId="4659B48A">
            <w:pPr>
              <w:pStyle w:val="9"/>
            </w:pPr>
            <w:r>
              <w:t>2026-09-19 02:54</w:t>
            </w:r>
          </w:p>
        </w:tc>
        <w:tc>
          <w:tcPr>
            <w:tcW w:w="4500" w:type="dxa"/>
          </w:tcPr>
          <w:p w14:paraId="02DA1A0F">
            <w:pPr>
              <w:pStyle w:val="9"/>
            </w:pPr>
            <w:r>
              <w:t>完成160000次更新，周期验证并保存最佳权重。</w:t>
            </w:r>
          </w:p>
        </w:tc>
      </w:tr>
      <w:tr w14:paraId="584A93EC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1500" w:type="dxa"/>
          </w:tcPr>
          <w:p w14:paraId="7B5452C0">
            <w:pPr>
              <w:pStyle w:val="9"/>
            </w:pPr>
            <w:r>
              <w:t>独立测试与预测整理</w:t>
            </w:r>
          </w:p>
        </w:tc>
        <w:tc>
          <w:tcPr>
            <w:tcW w:w="1700" w:type="dxa"/>
          </w:tcPr>
          <w:p w14:paraId="73413C4D">
            <w:pPr>
              <w:pStyle w:val="9"/>
            </w:pPr>
            <w:r>
              <w:t>2026-09-19起</w:t>
            </w:r>
          </w:p>
        </w:tc>
        <w:tc>
          <w:tcPr>
            <w:tcW w:w="1900" w:type="dxa"/>
          </w:tcPr>
          <w:p w14:paraId="2C41D93E">
            <w:pPr>
              <w:pStyle w:val="9"/>
            </w:pPr>
            <w:r>
              <w:t>截至2026-09-20已有产物</w:t>
            </w:r>
          </w:p>
        </w:tc>
        <w:tc>
          <w:tcPr>
            <w:tcW w:w="4500" w:type="dxa"/>
          </w:tcPr>
          <w:p w14:paraId="2BE2E985">
            <w:pPr>
              <w:pStyle w:val="9"/>
            </w:pPr>
            <w:r>
              <w:t>获得699张测试指标；本地已有500张无标注比赛预测。</w:t>
            </w:r>
          </w:p>
        </w:tc>
      </w:tr>
      <w:tr w14:paraId="2E654E3A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1500" w:type="dxa"/>
          </w:tcPr>
          <w:p w14:paraId="4C7FC882">
            <w:pPr>
              <w:pStyle w:val="9"/>
            </w:pPr>
            <w:r>
              <w:t>报告撰写与提交准备</w:t>
            </w:r>
          </w:p>
        </w:tc>
        <w:tc>
          <w:tcPr>
            <w:tcW w:w="1700" w:type="dxa"/>
          </w:tcPr>
          <w:p w14:paraId="1B60B4C0">
            <w:pPr>
              <w:pStyle w:val="9"/>
            </w:pPr>
            <w:r>
              <w:t>2026-09-20</w:t>
            </w:r>
          </w:p>
        </w:tc>
        <w:tc>
          <w:tcPr>
            <w:tcW w:w="1900" w:type="dxa"/>
          </w:tcPr>
          <w:p w14:paraId="7C663AF8">
            <w:pPr>
              <w:pStyle w:val="9"/>
            </w:pPr>
            <w:r>
              <w:t>2026-09-20</w:t>
            </w:r>
          </w:p>
        </w:tc>
        <w:tc>
          <w:tcPr>
            <w:tcW w:w="4500" w:type="dxa"/>
          </w:tcPr>
          <w:p w14:paraId="5D81695A">
            <w:pPr>
              <w:pStyle w:val="9"/>
            </w:pPr>
            <w:r>
              <w:t>整理技术报告、实验依据与参考资源；团队信息和平台正式提交待完成。</w:t>
            </w:r>
          </w:p>
        </w:tc>
      </w:tr>
    </w:tbl>
    <w:p w14:paraId="064199DA">
      <w:pPr>
        <w:pStyle w:val="2"/>
      </w:pPr>
    </w:p>
    <w:p w14:paraId="46846695">
      <w:pPr>
        <w:pStyle w:val="7"/>
      </w:pPr>
      <w:r>
        <w:t>六、团队分工</w:t>
      </w:r>
    </w:p>
    <w:tbl>
      <w:tblPr>
        <w:tblStyle w:val="5"/>
        <w:tblW w:w="9600" w:type="dxa"/>
        <w:tblInd w:w="0" w:type="dxa"/>
        <w:tblBorders>
          <w:top w:val="single" w:color="CDD5DF" w:sz="4" w:space="0"/>
          <w:left w:val="single" w:color="CDD5DF" w:sz="4" w:space="0"/>
          <w:bottom w:val="single" w:color="CDD5DF" w:sz="4" w:space="0"/>
          <w:right w:val="single" w:color="CDD5DF" w:sz="4" w:space="0"/>
          <w:insideH w:val="single" w:color="CDD5DF" w:sz="4" w:space="0"/>
          <w:insideV w:val="single" w:color="CDD5DF" w:sz="4" w:space="0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1400"/>
        <w:gridCol w:w="2100"/>
        <w:gridCol w:w="6100"/>
      </w:tblGrid>
      <w:tr w14:paraId="4E34FDE4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E8EEF5"/>
          </w:tcPr>
          <w:p w14:paraId="5D0F2C73">
            <w:pPr>
              <w:pStyle w:val="10"/>
            </w:pPr>
            <w:r>
              <w:t>姓名</w:t>
            </w:r>
          </w:p>
        </w:tc>
        <w:tc>
          <w:tcPr>
            <w:tcW w:w="2100" w:type="dxa"/>
            <w:shd w:val="clear" w:color="auto" w:fill="E8EEF5"/>
          </w:tcPr>
          <w:p w14:paraId="0AFDE953">
            <w:pPr>
              <w:pStyle w:val="10"/>
            </w:pPr>
            <w:r>
              <w:t>角色</w:t>
            </w:r>
          </w:p>
        </w:tc>
        <w:tc>
          <w:tcPr>
            <w:tcW w:w="6100" w:type="dxa"/>
            <w:shd w:val="clear" w:color="auto" w:fill="E8EEF5"/>
          </w:tcPr>
          <w:p w14:paraId="52797F9D">
            <w:pPr>
              <w:pStyle w:val="10"/>
            </w:pPr>
            <w:r>
              <w:t>负责内容</w:t>
            </w:r>
          </w:p>
        </w:tc>
      </w:tr>
      <w:tr w14:paraId="43D34B15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1400" w:type="dxa"/>
          </w:tcPr>
          <w:p w14:paraId="2FBD91E5">
            <w:pPr>
              <w:pStyle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胡子昊</w:t>
            </w:r>
          </w:p>
        </w:tc>
        <w:tc>
          <w:tcPr>
            <w:tcW w:w="2100" w:type="dxa"/>
          </w:tcPr>
          <w:p w14:paraId="7401E0F2">
            <w:pPr>
              <w:pStyle w:val="9"/>
            </w:pPr>
            <w:r>
              <w:t>算法设计</w:t>
            </w:r>
          </w:p>
        </w:tc>
        <w:tc>
          <w:tcPr>
            <w:tcW w:w="6100" w:type="dxa"/>
          </w:tcPr>
          <w:p w14:paraId="63D3B4C7">
            <w:pPr>
              <w:pStyle w:val="9"/>
            </w:pPr>
            <w:r>
              <w:t>HyperSeg结构、场景条件模块、损失设计与</w:t>
            </w:r>
            <w:r>
              <w:rPr>
                <w:rFonts w:hint="eastAsia"/>
                <w:lang w:val="en-US" w:eastAsia="zh-CN"/>
              </w:rPr>
              <w:t>模型训练</w:t>
            </w:r>
            <w:r>
              <w:t>。</w:t>
            </w:r>
          </w:p>
        </w:tc>
      </w:tr>
      <w:tr w14:paraId="01164153">
        <w:tblPrEx>
          <w:tblBorders>
            <w:top w:val="single" w:color="CDD5DF" w:sz="4" w:space="0"/>
            <w:left w:val="single" w:color="CDD5DF" w:sz="4" w:space="0"/>
            <w:bottom w:val="single" w:color="CDD5DF" w:sz="4" w:space="0"/>
            <w:right w:val="single" w:color="CDD5DF" w:sz="4" w:space="0"/>
            <w:insideH w:val="single" w:color="CDD5DF" w:sz="4" w:space="0"/>
            <w:insideV w:val="single" w:color="CDD5DF" w:sz="4" w:space="0"/>
          </w:tblBorders>
          <w:tblCellMar>
            <w:top w:w="85" w:type="dxa"/>
            <w:left w:w="100" w:type="dxa"/>
            <w:bottom w:w="85" w:type="dxa"/>
            <w:right w:w="100" w:type="dxa"/>
          </w:tblCellMar>
        </w:tblPrEx>
        <w:trPr>
          <w:cantSplit/>
        </w:trPr>
        <w:tc>
          <w:tcPr>
            <w:tcW w:w="1400" w:type="dxa"/>
          </w:tcPr>
          <w:p w14:paraId="75238EA4">
            <w:pPr>
              <w:pStyle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陈子轩</w:t>
            </w:r>
          </w:p>
        </w:tc>
        <w:tc>
          <w:tcPr>
            <w:tcW w:w="2100" w:type="dxa"/>
          </w:tcPr>
          <w:p w14:paraId="41AEBB1E">
            <w:pPr>
              <w:pStyle w:val="9"/>
            </w:pPr>
            <w:r>
              <w:t>数据与评价</w:t>
            </w:r>
          </w:p>
        </w:tc>
        <w:tc>
          <w:tcPr>
            <w:tcW w:w="6100" w:type="dxa"/>
          </w:tcPr>
          <w:p w14:paraId="13512683">
            <w:pPr>
              <w:pStyle w:val="9"/>
            </w:pPr>
            <w:r>
              <w:t>数据配对、标签与划分核验、</w:t>
            </w:r>
            <w:r>
              <w:rPr>
                <w:rFonts w:hint="eastAsia"/>
                <w:lang w:val="en-US" w:eastAsia="zh-CN"/>
              </w:rPr>
              <w:t>模型性能测试与模型训练</w:t>
            </w:r>
            <w:r>
              <w:t>。</w:t>
            </w:r>
          </w:p>
        </w:tc>
      </w:tr>
    </w:tbl>
    <w:p w14:paraId="347191E2">
      <w:pPr>
        <w:pStyle w:val="2"/>
      </w:pPr>
    </w:p>
    <w:p w14:paraId="599F2110">
      <w:r>
        <w:br w:type="page"/>
      </w:r>
    </w:p>
    <w:p w14:paraId="2EA224D9">
      <w:pPr>
        <w:pStyle w:val="7"/>
      </w:pPr>
      <w:r>
        <w:t>七、解题参考资源</w:t>
      </w:r>
    </w:p>
    <w:p w14:paraId="39C74075">
      <w:r>
        <w:t>公开文献用于说明编码器和参考对照的技术来源；项目自身实现及实验指标以本地代码、配置和原始日志为准。本文HyperSeg-UAV名称指当前项目实现。</w:t>
      </w:r>
    </w:p>
    <w:p w14:paraId="429B4CEE">
      <w:pPr>
        <w:pStyle w:val="8"/>
      </w:pPr>
      <w:r>
        <w:t>7.1 公开技术资料</w:t>
      </w:r>
    </w:p>
    <w:p w14:paraId="5425E6E4">
      <w:pPr>
        <w:pStyle w:val="12"/>
      </w:pPr>
      <w:r>
        <w:t>[1] Xie E, Wang W, Yu Z, et al. SegFormer: Simple and Efficient Design for Semantic Segmentation with Transformers. NeurIPS, 2021. https://arxiv.org/abs/2105.15203 。用于MiT层次化编码器背景。</w:t>
      </w:r>
    </w:p>
    <w:p w14:paraId="77D64FB7">
      <w:pPr>
        <w:pStyle w:val="12"/>
      </w:pPr>
      <w:r>
        <w:t xml:space="preserve">[2] Liu Z, Lin Y, Cao Y, et al. Swin Transformer: Hierarchical Vision Transformer using Shifted Windows. ICCV, 2021. https://arxiv.org/abs/2103.14030 </w:t>
      </w:r>
    </w:p>
    <w:p w14:paraId="4FD6AE21">
      <w:pPr>
        <w:pStyle w:val="12"/>
      </w:pPr>
      <w:r>
        <w:t xml:space="preserve">[3] Cheng B, Misra I, Schwing A G, et al. Masked-attention Mask Transformer for Universal Image Segmentation. CVPR, 2022. https://arxiv.org/abs/2112.01527 </w:t>
      </w:r>
    </w:p>
    <w:p w14:paraId="5C264C71"/>
    <w:sectPr>
      <w:headerReference r:id="rId5" w:type="default"/>
      <w:footerReference r:id="rId6" w:type="default"/>
      <w:pgSz w:w="11906" w:h="16838"/>
      <w:pgMar w:top="1134" w:right="1134" w:bottom="1134" w:left="1134" w:header="567" w:footer="56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023B0B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0" w:lineRule="auto"/>
      </w:pPr>
      <w:r>
        <w:separator/>
      </w:r>
    </w:p>
  </w:footnote>
  <w:footnote w:type="continuationSeparator" w:id="1">
    <w:p>
      <w:pPr>
        <w:spacing w:before="0" w:after="0" w:line="31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AD49A0">
    <w:pPr>
      <w:jc w:val="right"/>
    </w:pPr>
    <w:r>
      <w:rPr>
        <w:color w:val="667788"/>
        <w:sz w:val="18"/>
      </w:rPr>
      <w:t>HyperSeg-UAV · 无人机低空航拍图像语义分割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4B4D1B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/>
      <w:spacing w:after="110" w:line="310" w:lineRule="auto"/>
      <w:ind w:firstLine="440"/>
      <w:jc w:val="both"/>
    </w:pPr>
    <w:rPr>
      <w:rFonts w:ascii="Calibri" w:hAnsi="Calibri" w:eastAsia="宋体"/>
      <w:sz w:val="22"/>
      <w:lang w:val="en-US" w:eastAsia="zh-CN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pacing w:after="45" w:line="270" w:lineRule="auto"/>
      <w:ind w:firstLine="0"/>
    </w:pPr>
    <w:rPr>
      <w:rFonts w:ascii="Calibri" w:hAnsi="Calibri" w:eastAsia="宋体"/>
      <w:color w:val="222222"/>
      <w:sz w:val="20"/>
      <w:szCs w:val="20"/>
    </w:rPr>
  </w:style>
  <w:style w:type="paragraph" w:styleId="3">
    <w:name w:val="Subtitle"/>
    <w:basedOn w:val="1"/>
    <w:qFormat/>
    <w:uiPriority w:val="0"/>
    <w:pPr>
      <w:ind w:firstLine="0"/>
      <w:jc w:val="center"/>
    </w:pPr>
    <w:rPr>
      <w:rFonts w:ascii="Calibri" w:hAnsi="Calibri" w:eastAsia="宋体"/>
      <w:color w:val="52657A"/>
      <w:sz w:val="23"/>
      <w:szCs w:val="23"/>
    </w:rPr>
  </w:style>
  <w:style w:type="paragraph" w:styleId="4">
    <w:name w:val="Title"/>
    <w:basedOn w:val="1"/>
    <w:qFormat/>
    <w:uiPriority w:val="0"/>
    <w:pPr>
      <w:spacing w:before="500" w:after="240"/>
      <w:ind w:firstLine="0"/>
      <w:jc w:val="center"/>
    </w:pPr>
    <w:rPr>
      <w:rFonts w:ascii="Calibri" w:hAnsi="Calibri" w:eastAsia="黑体"/>
      <w:b/>
      <w:color w:val="17365D"/>
      <w:sz w:val="38"/>
      <w:szCs w:val="38"/>
    </w:rPr>
  </w:style>
  <w:style w:type="paragraph" w:customStyle="1" w:styleId="7">
    <w:name w:val="Heading1"/>
    <w:basedOn w:val="1"/>
    <w:qFormat/>
    <w:uiPriority w:val="0"/>
    <w:pPr>
      <w:keepNext/>
      <w:spacing w:before="210" w:after="150"/>
      <w:ind w:firstLine="0"/>
      <w:outlineLvl w:val="0"/>
    </w:pPr>
    <w:rPr>
      <w:rFonts w:ascii="Calibri" w:hAnsi="Calibri" w:eastAsia="黑体"/>
      <w:b/>
      <w:color w:val="17365D"/>
      <w:sz w:val="29"/>
      <w:szCs w:val="29"/>
    </w:rPr>
  </w:style>
  <w:style w:type="paragraph" w:customStyle="1" w:styleId="8">
    <w:name w:val="Heading2"/>
    <w:basedOn w:val="1"/>
    <w:qFormat/>
    <w:uiPriority w:val="0"/>
    <w:pPr>
      <w:keepNext/>
      <w:spacing w:before="140" w:after="100"/>
      <w:ind w:firstLine="0"/>
      <w:outlineLvl w:val="1"/>
    </w:pPr>
    <w:rPr>
      <w:rFonts w:ascii="Calibri" w:hAnsi="Calibri" w:eastAsia="黑体"/>
      <w:b/>
      <w:color w:val="17365D"/>
      <w:sz w:val="24"/>
      <w:szCs w:val="24"/>
    </w:rPr>
  </w:style>
  <w:style w:type="paragraph" w:customStyle="1" w:styleId="9">
    <w:name w:val="TableText"/>
    <w:basedOn w:val="1"/>
    <w:uiPriority w:val="0"/>
    <w:pPr>
      <w:spacing w:after="45" w:line="270" w:lineRule="auto"/>
      <w:ind w:firstLine="0"/>
    </w:pPr>
    <w:rPr>
      <w:rFonts w:ascii="Calibri" w:hAnsi="Calibri" w:eastAsia="宋体"/>
      <w:color w:val="222222"/>
      <w:sz w:val="20"/>
      <w:szCs w:val="20"/>
    </w:rPr>
  </w:style>
  <w:style w:type="paragraph" w:customStyle="1" w:styleId="10">
    <w:name w:val="TableHeader"/>
    <w:basedOn w:val="1"/>
    <w:qFormat/>
    <w:uiPriority w:val="0"/>
    <w:pPr>
      <w:keepNext/>
      <w:spacing w:after="45" w:line="270" w:lineRule="auto"/>
      <w:ind w:firstLine="0"/>
    </w:pPr>
    <w:rPr>
      <w:rFonts w:ascii="Calibri" w:hAnsi="Calibri" w:eastAsia="宋体"/>
      <w:b/>
      <w:color w:val="222222"/>
      <w:sz w:val="20"/>
      <w:szCs w:val="20"/>
    </w:rPr>
  </w:style>
  <w:style w:type="paragraph" w:customStyle="1" w:styleId="11">
    <w:name w:val="Formula"/>
    <w:basedOn w:val="1"/>
    <w:uiPriority w:val="0"/>
    <w:pPr>
      <w:spacing w:after="45" w:line="270" w:lineRule="auto"/>
      <w:ind w:firstLine="0"/>
    </w:pPr>
    <w:rPr>
      <w:rFonts w:ascii="Calibri" w:hAnsi="Calibri" w:eastAsia="宋体"/>
      <w:color w:val="222222"/>
      <w:sz w:val="21"/>
      <w:szCs w:val="21"/>
    </w:rPr>
  </w:style>
  <w:style w:type="paragraph" w:customStyle="1" w:styleId="12">
    <w:name w:val="Reference"/>
    <w:basedOn w:val="1"/>
    <w:qFormat/>
    <w:uiPriority w:val="0"/>
    <w:pPr>
      <w:spacing w:after="45" w:line="270" w:lineRule="auto"/>
      <w:ind w:firstLine="0"/>
    </w:pPr>
    <w:rPr>
      <w:rFonts w:ascii="Calibri" w:hAnsi="Calibri" w:eastAsia="宋体"/>
      <w:color w:val="222222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750</Words>
  <Characters>891</Characters>
  <TotalTime>8</TotalTime>
  <ScaleCrop>false</ScaleCrop>
  <LinksUpToDate>false</LinksUpToDate>
  <CharactersWithSpaces>912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2026-09-20T12:53:19Z</dcterms:created>
  <dc:creator>86189</dc:creator>
  <cp:lastModifiedBy>WPS_1641689797</cp:lastModifiedBy>
  <dcterms:modified xsi:type="dcterms:W3CDTF">2026-09-20T13:01:23Z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eyJoZGlkIjoiYmZkMzQ3OGFjZjAwNGFiZTNlYWI3MDk3MzBkZjRjNmEiLCJ1c2VySWQiOiIxMzE1NTI3MTUxIn0=</vt:lpwstr>
  </property>
  <property fmtid="{D5CDD505-2E9C-101B-9397-08002B2CF9AE}" pid="3" name="KSOProductBuildVer">
    <vt:lpwstr>2052-12.1.0.28505</vt:lpwstr>
  </property>
  <property fmtid="{D5CDD505-2E9C-101B-9397-08002B2CF9AE}" pid="4" name="ICV">
    <vt:lpwstr>3E56C0B4FD484F00AA0ADD95618B18A7_12</vt:lpwstr>
  </property>
</Properties>
</file>