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  <w:spacing w:line="540" w:lineRule="exact"/>
      </w:pPr>
      <w:r>
        <w:rPr>
          <w:rFonts w:eastAsia="Songti SC"/>
        </w:rPr>
        <w:t>A股小市值策略的收益延续性与执行约束</w:t>
      </w:r>
    </w:p>
    <w:p>
      <w:pPr>
        <w:pStyle w:val="Subtitle"/>
        <w:snapToGrid w:val="0"/>
        <w:spacing w:line="280" w:lineRule="exact"/>
      </w:pPr>
      <w:r>
        <w:rPr>
          <w:rFonts w:eastAsia="Songti SC"/>
          <w:b w:val="0"/>
        </w:rPr>
        <w:t>2015至2025年沪深主板市值分组研究</w:t>
      </w:r>
    </w:p>
    <w:p>
      <w:pPr>
        <w:snapToGrid w:val="0"/>
        <w:spacing w:line="280" w:lineRule="exact"/>
      </w:pPr>
      <w:r>
        <w:rPr>
          <w:rFonts w:eastAsia="Songti SC"/>
          <w:b w:val="0"/>
          <w:sz w:val="18"/>
        </w:rPr>
        <w:t>2026年10月25日  |  样本内2015—2023  |  历史留出2024—2025  |  单边综合成本30bp</w:t>
      </w:r>
    </w:p>
    <w:p>
      <w:pPr>
        <w:pStyle w:val="Heading2"/>
        <w:snapToGrid w:val="0"/>
        <w:spacing w:line="360" w:lineRule="exact"/>
      </w:pPr>
      <w:r>
        <w:rPr>
          <w:rFonts w:eastAsia="Songti SC"/>
          <w:color w:val="000000"/>
        </w:rPr>
        <w:t>研究问题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在剔除当时已知ST等风险状态后，较小市值股票的收益优势能否延续？如果以100只股票为月度目标，这种优势需要承担多大回撤，又会受到整手交易和最低佣金怎样的影响？</w:t>
      </w:r>
    </w:p>
    <w:p>
      <w:pPr>
        <w:pStyle w:val="Heading2"/>
        <w:snapToGrid w:val="0"/>
        <w:spacing w:line="360" w:lineRule="exact"/>
      </w:pPr>
      <w:r>
        <w:rPr>
          <w:rFonts w:eastAsia="Songti SC"/>
          <w:color w:val="000000"/>
        </w:rPr>
        <w:t>主要结论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五档组合中，1—100组以样本内夏普0.880胜出。冻结该组后，其2024—2025年复合年化收益为23.42%，在原五档中最高；但夏普并非最高，日度最大回撤达-45.16%。因此可以认可本样本的收益领先，不能推出严格单调或低风险的“市值越小越好”。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相对中证1000价格指数，最小组月均收益差为0.864个百分点，HAC(6)的95%区间跨越0。ST退出与补仓未明显降低样本外最大回撤；扩展至第1000名后，样本内市值梯度较强，样本外仍有区间反转。</w:t>
      </w:r>
    </w:p>
    <w:p>
      <w:pPr>
        <w:snapToGrid w:val="0"/>
        <w:spacing w:line="280" w:lineRule="exact"/>
      </w:pPr>
      <w:r>
        <w:rPr>
          <w:rFonts w:eastAsia="Songti SC"/>
        </w:rPr>
        <w:t>资金与执行实验表明，同从2024年初现金开始，100万元在1%日容量及η=0.5增量冲击假设下年化21.77%，较同资金开盘基准变动-0.22个百分点；5000万元时为23.38%，尝试完成率77.93%。这是固定日频假设下的压力检验，不能认证实盘容量，详见第12—14节。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表1  原策略的主要绩效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211"/>
        <w:gridCol w:w="1928"/>
        <w:gridCol w:w="2494"/>
      </w:tblGrid>
      <w:tr>
        <w:trPr>
          <w:cantSplit/>
          <w:tblHeader/>
        </w:trPr>
        <w:tc>
          <w:tcPr>
            <w:tcW w:type="dxa" w:w="2891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/>
                <w:sz w:val="18"/>
              </w:rPr>
              <w:t>对象与期间</w:t>
            </w:r>
          </w:p>
        </w:tc>
        <w:tc>
          <w:tcPr>
            <w:tcW w:type="dxa" w:w="2211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18"/>
              </w:rPr>
              <w:t>复合年化收益</w:t>
            </w:r>
          </w:p>
        </w:tc>
        <w:tc>
          <w:tcPr>
            <w:tcW w:type="dxa" w:w="1928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18"/>
              </w:rPr>
              <w:t>夏普比率</w:t>
            </w:r>
          </w:p>
        </w:tc>
        <w:tc>
          <w:tcPr>
            <w:tcW w:type="dxa" w:w="2494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18"/>
              </w:rPr>
              <w:t>日度最大回撤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8"/>
              </w:rPr>
              <w:t>最小组 / 样本内</w:t>
            </w:r>
          </w:p>
        </w:tc>
        <w:tc>
          <w:tcPr>
            <w:tcW w:type="dxa" w:w="221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8"/>
              </w:rPr>
              <w:t>22.99%</w:t>
            </w:r>
          </w:p>
        </w:tc>
        <w:tc>
          <w:tcPr>
            <w:tcW w:type="dxa" w:w="1928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8"/>
              </w:rPr>
              <w:t>0.880</w:t>
            </w:r>
          </w:p>
        </w:tc>
        <w:tc>
          <w:tcPr>
            <w:tcW w:type="dxa" w:w="249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8"/>
              </w:rPr>
              <w:t>-50.61%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8"/>
              </w:rPr>
              <w:t>最小组 / 样本外</w:t>
            </w:r>
          </w:p>
        </w:tc>
        <w:tc>
          <w:tcPr>
            <w:tcW w:type="dxa" w:w="221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8"/>
              </w:rPr>
              <w:t>23.42%</w:t>
            </w:r>
          </w:p>
        </w:tc>
        <w:tc>
          <w:tcPr>
            <w:tcW w:type="dxa" w:w="1928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8"/>
              </w:rPr>
              <w:t>0.784</w:t>
            </w:r>
          </w:p>
        </w:tc>
        <w:tc>
          <w:tcPr>
            <w:tcW w:type="dxa" w:w="249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8"/>
              </w:rPr>
              <w:t>-45.16%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8"/>
              </w:rPr>
              <w:t>中证1000 / 样本外</w:t>
            </w:r>
          </w:p>
        </w:tc>
        <w:tc>
          <w:tcPr>
            <w:tcW w:type="dxa" w:w="221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8"/>
              </w:rPr>
              <w:t>13.58%</w:t>
            </w:r>
          </w:p>
        </w:tc>
        <w:tc>
          <w:tcPr>
            <w:tcW w:type="dxa" w:w="1928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8"/>
              </w:rPr>
              <w:t>0.595</w:t>
            </w:r>
          </w:p>
        </w:tc>
        <w:tc>
          <w:tcPr>
            <w:tcW w:type="dxa" w:w="249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8"/>
              </w:rPr>
              <w:t>-27.08%</w:t>
            </w:r>
          </w:p>
        </w:tc>
      </w:tr>
    </w:tbl>
    <w:p>
      <w:pPr>
        <w:spacing w:after="0" w:line="60" w:lineRule="exact"/>
        <w:snapToGrid w:val="0"/>
      </w:pPr>
      <w:r>
        <w:rPr>
          <w:rFonts w:eastAsia="Songti SC"/>
          <w:sz w:val="6"/>
        </w:rPr>
      </w:r>
    </w:p>
    <w:p>
      <w:pPr>
        <w:snapToGrid w:val="0"/>
        <w:spacing w:line="280" w:lineRule="exact"/>
      </w:pPr>
      <w:r>
        <w:rPr>
          <w:rFonts w:eastAsia="Songti SC"/>
          <w:b w:val="0"/>
          <w:sz w:val="18"/>
        </w:rPr>
        <w:t>夏普以月收益计算并年化，无风险收益率设为0。组合扣综合交易成本；中证1000为不含分红、未扣实施费用的价格指数。资金实验另从期初现金建仓，不能与原策略承接持仓的样本外收益直接相减。</w:t>
      </w:r>
    </w:p>
    <w:p>
      <w:pPr>
        <w:snapToGrid w:val="0"/>
        <w:spacing w:line="280" w:lineRule="exact"/>
      </w:pPr>
      <w:r>
        <w:rPr>
          <w:rFonts w:eastAsia="Songti SC"/>
          <w:b/>
        </w:rPr>
        <w:t>2024—2025是历史留出的评价期，研究过程中已查看结果，不能称为未窥视的独立测试。壳价值仅为背景，本研究不识别壳价值或因果关系。</w:t>
      </w:r>
    </w:p>
    <w:p>
      <w:pPr>
        <w:pStyle w:val="Heading1"/>
        <w:pageBreakBefore/>
        <w:snapToGrid w:val="0"/>
        <w:spacing w:line="480" w:lineRule="exact"/>
      </w:pPr>
      <w:r>
        <w:rPr>
          <w:rFonts w:eastAsia="Songti SC"/>
          <w:color w:val="000000"/>
        </w:rPr>
        <w:t>1  先固定股票池与投资规则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研究对象为沪深主板，包含原中小板及后来退市公司；排除金融、CDR和上市不足252个交易日的股票。数据以Tushare冻结输入为基础，补以历史简称、已发布行业分类及交易所公告，避免用当前存续名单或当前状态回填历史。</w:t>
      </w:r>
    </w:p>
    <w:p>
      <w:pPr>
        <w:pStyle w:val="Heading2"/>
        <w:snapToGrid w:val="0"/>
        <w:spacing w:line="360" w:lineRule="exact"/>
      </w:pPr>
      <w:r>
        <w:rPr>
          <w:rFonts w:eastAsia="Songti SC"/>
          <w:color w:val="000000"/>
        </w:rPr>
        <w:t>市值名次的含义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每月末先跳过当时已知的ST、PT、退市整理及状态未知股票，再按当时总市值升序排列；同值按代码排序。总市值是总股本对应的市值，不是流通市值。本文“1—100名”始终指过滤后的名次，财报缺失不改变这一排名。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表2  固定的研究协议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654"/>
      </w:tblGrid>
      <w:tr>
        <w:trPr>
          <w:cantSplit/>
          <w:tblHeader/>
        </w:trPr>
        <w:tc>
          <w:tcPr>
            <w:tcW w:type="dxa" w:w="1871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/>
                <w:sz w:val="20"/>
              </w:rPr>
              <w:t>项目</w:t>
            </w:r>
          </w:p>
        </w:tc>
        <w:tc>
          <w:tcPr>
            <w:tcW w:type="dxa" w:w="7654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/>
                <w:sz w:val="20"/>
              </w:rPr>
              <w:t>具体设定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候选与目标</w:t>
            </w:r>
          </w:p>
        </w:tc>
        <w:tc>
          <w:tcPr>
            <w:tcW w:type="dxa" w:w="765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1—100、101—200、201—300、301—400、401—500；每组100只，月度等权目标。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样本内选优</w:t>
            </w:r>
          </w:p>
        </w:tc>
        <w:tc>
          <w:tcPr>
            <w:tcW w:type="dxa" w:w="765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2015—2023共108个月，按单边30bp成本后的月收益夏普选组。完全并列时先低换手，再较大市值区间。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历史留出验证</w:t>
            </w:r>
          </w:p>
        </w:tc>
        <w:tc>
          <w:tcPr>
            <w:tcW w:type="dxa" w:w="765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冻结赢家与规则后评价2024—2025共24个月；不得用测试排名替换赢家。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主成本与收益</w:t>
            </w:r>
          </w:p>
        </w:tc>
        <w:tc>
          <w:tcPr>
            <w:tcW w:type="dxa" w:w="765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买卖各按实际成交额扣30bp；统一复权收益，不重复加股息。主回测为连续份额。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停牌与退市</w:t>
            </w:r>
          </w:p>
        </w:tc>
        <w:tc>
          <w:tcPr>
            <w:tcW w:type="dxa" w:w="765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无法交易时继续持有；停牌沿用末次估值。退市主残值0，另作末次估值50%和100%情景。</w:t>
            </w:r>
          </w:p>
        </w:tc>
      </w:tr>
    </w:tbl>
    <w:p>
      <w:pPr>
        <w:spacing w:after="0" w:line="60" w:lineRule="exact"/>
        <w:snapToGrid w:val="0"/>
      </w:pPr>
      <w:r>
        <w:rPr>
          <w:rFonts w:eastAsia="Songti SC"/>
          <w:sz w:val="6"/>
        </w:rPr>
      </w:r>
    </w:p>
    <w:p>
      <w:pPr>
        <w:pStyle w:val="Heading2"/>
        <w:snapToGrid w:val="0"/>
        <w:spacing w:line="360" w:lineRule="exact"/>
      </w:pPr>
      <w:r>
        <w:rPr>
          <w:rFonts w:eastAsia="Songti SC"/>
          <w:color w:val="000000"/>
        </w:rPr>
        <w:t>从信号到实际成交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月末收盘形成名单；用此前收盘价格和净值确定目标数量。开盘前按已公布涨停价预留买入预算，开盘可交易才执行；停牌或开盘封于相应涨跌停时不成交。普通买入缺口在之后交易日继续尝试，不能依据本次开盘结果临时更换标的或扩大其他订单。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持仓出现可观测ST等风险时，发出退出订单并在首个允许卖出的开盘执行。卖出所得最早用于下一交易日补仓，按当月冻结名单从本组上界之后顺延。受阻退出、零碎余仓和资金等待均可使实际持股数偏离100。</w:t>
      </w:r>
    </w:p>
    <w:p>
      <w:pPr>
        <w:snapToGrid w:val="0"/>
        <w:spacing w:line="280" w:lineRule="exact"/>
      </w:pPr>
      <w:r>
        <w:rPr>
          <w:rFonts w:eastAsia="Songti SC"/>
        </w:rPr>
        <w:t>财报公告后下一交易日可用；行业与状态采用历史资料。简称证据最多沿用185天，未知不视为正常股。历史版本与估值限制见第15节。</w:t>
      </w:r>
    </w:p>
    <w:p>
      <w:pPr>
        <w:pStyle w:val="Heading1"/>
        <w:pageBreakBefore/>
        <w:snapToGrid w:val="0"/>
        <w:spacing w:line="480" w:lineRule="exact"/>
      </w:pPr>
      <w:r>
        <w:rPr>
          <w:rFonts w:eastAsia="Songti SC"/>
          <w:color w:val="000000"/>
        </w:rPr>
        <w:t>2  从样本内赢家到历史留出表现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五档均参与样本内选优，1—100组的夏普最高。验证阶段保留同一赢家，同时列出其他组，检查优势是否依赖单一指标。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图1  五档组合与中证1000的月末净值</w:t>
      </w:r>
    </w:p>
    <w:p>
      <w:pPr>
        <w:keepNext/>
        <w:snapToGrid w:val="0"/>
      </w:pPr>
      <w:r>
        <w:rPr>
          <w:rFonts w:eastAsia="Songti SC"/>
        </w:rPr>
        <w:drawing>
          <wp:inline xmlns:a="http://schemas.openxmlformats.org/drawingml/2006/main" xmlns:pic="http://schemas.openxmlformats.org/drawingml/2006/picture">
            <wp:extent cx="6012000" cy="2745312"/>
            <wp:docPr id="1" name="Picture 1" descr="图1  五档组合与中证1000的月末净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perio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74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="280" w:lineRule="exact"/>
      </w:pPr>
      <w:r>
        <w:rPr>
          <w:rFonts w:eastAsia="Songti SC"/>
          <w:b w:val="0"/>
          <w:sz w:val="18"/>
        </w:rPr>
        <w:t>各期净值归一化为1；样本外承接2023年末实际持仓。组合扣单边30bp，指数为价格指数。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表3  五档的选择依据与样本外结果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701"/>
        <w:gridCol w:w="2041"/>
        <w:gridCol w:w="1644"/>
        <w:gridCol w:w="2211"/>
      </w:tblGrid>
      <w:tr>
        <w:trPr>
          <w:cantSplit/>
          <w:tblHeader/>
        </w:trPr>
        <w:tc>
          <w:tcPr>
            <w:tcW w:type="dxa" w:w="1928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/>
                <w:sz w:val="20"/>
              </w:rPr>
              <w:t>过滤后名次</w:t>
            </w:r>
          </w:p>
        </w:tc>
        <w:tc>
          <w:tcPr>
            <w:tcW w:type="dxa" w:w="1701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样本内</w:t>
              <w:br/>
              <w:t>夏普</w:t>
            </w:r>
          </w:p>
        </w:tc>
        <w:tc>
          <w:tcPr>
            <w:tcW w:type="dxa" w:w="2041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样本外</w:t>
              <w:br/>
              <w:t>年化收益</w:t>
            </w:r>
          </w:p>
        </w:tc>
        <w:tc>
          <w:tcPr>
            <w:tcW w:type="dxa" w:w="1644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样本外</w:t>
              <w:br/>
              <w:t>夏普</w:t>
            </w:r>
          </w:p>
        </w:tc>
        <w:tc>
          <w:tcPr>
            <w:tcW w:type="dxa" w:w="2211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样本外</w:t>
              <w:br/>
              <w:t>日度最大回撤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1—100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0.880</w:t>
            </w:r>
          </w:p>
        </w:tc>
        <w:tc>
          <w:tcPr>
            <w:tcW w:type="dxa" w:w="204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23.42%</w:t>
            </w:r>
          </w:p>
        </w:tc>
        <w:tc>
          <w:tcPr>
            <w:tcW w:type="dxa" w:w="164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0.784</w:t>
            </w:r>
          </w:p>
        </w:tc>
        <w:tc>
          <w:tcPr>
            <w:tcW w:type="dxa" w:w="221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-45.16%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101—200</w:t>
            </w:r>
          </w:p>
        </w:tc>
        <w:tc>
          <w:tcPr>
            <w:tcW w:type="dxa" w:w="170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0.683</w:t>
            </w:r>
          </w:p>
        </w:tc>
        <w:tc>
          <w:tcPr>
            <w:tcW w:type="dxa" w:w="204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18.45%</w:t>
            </w:r>
          </w:p>
        </w:tc>
        <w:tc>
          <w:tcPr>
            <w:tcW w:type="dxa" w:w="164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0.714</w:t>
            </w:r>
          </w:p>
        </w:tc>
        <w:tc>
          <w:tcPr>
            <w:tcW w:type="dxa" w:w="221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-42.60%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201—300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0.570</w:t>
            </w:r>
          </w:p>
        </w:tc>
        <w:tc>
          <w:tcPr>
            <w:tcW w:type="dxa" w:w="204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18.52%</w:t>
            </w:r>
          </w:p>
        </w:tc>
        <w:tc>
          <w:tcPr>
            <w:tcW w:type="dxa" w:w="164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0.750</w:t>
            </w:r>
          </w:p>
        </w:tc>
        <w:tc>
          <w:tcPr>
            <w:tcW w:type="dxa" w:w="221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-40.61%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301—400</w:t>
            </w:r>
          </w:p>
        </w:tc>
        <w:tc>
          <w:tcPr>
            <w:tcW w:type="dxa" w:w="170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0.332</w:t>
            </w:r>
          </w:p>
        </w:tc>
        <w:tc>
          <w:tcPr>
            <w:tcW w:type="dxa" w:w="204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14.56%</w:t>
            </w:r>
          </w:p>
        </w:tc>
        <w:tc>
          <w:tcPr>
            <w:tcW w:type="dxa" w:w="164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0.638</w:t>
            </w:r>
          </w:p>
        </w:tc>
        <w:tc>
          <w:tcPr>
            <w:tcW w:type="dxa" w:w="221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-37.72%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401—500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0.363</w:t>
            </w:r>
          </w:p>
        </w:tc>
        <w:tc>
          <w:tcPr>
            <w:tcW w:type="dxa" w:w="204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22.26%</w:t>
            </w:r>
          </w:p>
        </w:tc>
        <w:tc>
          <w:tcPr>
            <w:tcW w:type="dxa" w:w="164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0.906</w:t>
            </w:r>
          </w:p>
        </w:tc>
        <w:tc>
          <w:tcPr>
            <w:tcW w:type="dxa" w:w="221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-36.57%</w:t>
            </w:r>
          </w:p>
        </w:tc>
      </w:tr>
    </w:tbl>
    <w:p>
      <w:pPr>
        <w:spacing w:after="0" w:line="60" w:lineRule="exact"/>
        <w:snapToGrid w:val="0"/>
      </w:pPr>
      <w:r>
        <w:rPr>
          <w:rFonts w:eastAsia="Songti SC"/>
          <w:sz w:val="6"/>
        </w:rPr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样本外最小组的年化收益仍领先，但401—500组的夏普为0.906，高于最小组的0.784；301—400与401—500之间也存在收益反转。“最小组本次收益较好”与“所有区间严格单调、最小组在所有维度最优”是不同命题。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样本外两年表现并不均匀：最小组2024年收益约1.05%，2025年约50.74%；中证1000分别约1.20%和27.49%。因此整体年化数字不能替代逐年表现，也不足以判断未来不同市场状态。</w:t>
      </w:r>
    </w:p>
    <w:p>
      <w:pPr>
        <w:snapToGrid w:val="0"/>
        <w:spacing w:line="280" w:lineRule="exact"/>
      </w:pPr>
      <w:r>
        <w:rPr>
          <w:rFonts w:eastAsia="Songti SC"/>
          <w:b w:val="0"/>
          <w:sz w:val="18"/>
        </w:rPr>
        <w:t>2015年最小组收益约158.16%，对较长样本内业绩有明显贡献。样本跨越牛熊阶段并不等于已经获得多个独立市场周期的验证。</w:t>
      </w:r>
    </w:p>
    <w:p>
      <w:pPr>
        <w:pStyle w:val="Heading1"/>
        <w:pageBreakBefore/>
        <w:snapToGrid w:val="0"/>
        <w:spacing w:line="480" w:lineRule="exact"/>
      </w:pPr>
      <w:r>
        <w:rPr>
          <w:rFonts w:eastAsia="Songti SC"/>
          <w:color w:val="000000"/>
        </w:rPr>
        <w:t>3  收益领先的证据有多强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图2  冻结赢家与其他组合的配对月收益差</w:t>
      </w:r>
    </w:p>
    <w:p>
      <w:pPr>
        <w:keepNext/>
        <w:snapToGrid w:val="0"/>
      </w:pPr>
      <w:r>
        <w:rPr>
          <w:rFonts w:eastAsia="Songti SC"/>
        </w:rPr>
        <w:drawing>
          <wp:inline xmlns:a="http://schemas.openxmlformats.org/drawingml/2006/main" xmlns:pic="http://schemas.openxmlformats.org/drawingml/2006/picture">
            <wp:extent cx="6012000" cy="2188368"/>
            <wp:docPr id="2" name="Picture 2" descr="图2  冻结赢家与其他组合的配对月收益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ed_interv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18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="280" w:lineRule="exact"/>
      </w:pPr>
      <w:r>
        <w:rPr>
          <w:rFonts w:eastAsia="Songti SC"/>
          <w:b w:val="0"/>
          <w:sz w:val="18"/>
        </w:rPr>
        <w:t>正值表示最小组领先；横线为HAC(6)标准误构造的95%区间。所有样本外比较均含0。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主要统计原假设为H0：最小组与中证1000的总体月均收益差为0。观测差为0.864个百分点/月，95%区间为[-1.452, 3.180]个百分点/月，因而不能在该检验下拒绝H0。区间包含0不等于证明没有优势，而是现有24个月证据不足以排除无优势的解释。</w:t>
      </w:r>
    </w:p>
    <w:p>
      <w:pPr>
        <w:snapToGrid w:val="0"/>
        <w:spacing w:line="280" w:lineRule="exact"/>
      </w:pPr>
      <w:r>
        <w:rPr>
          <w:rFonts w:eastAsia="Songti SC"/>
          <w:b w:val="0"/>
          <w:sz w:val="18"/>
        </w:rPr>
        <w:t>HAC允许误差存在异方差和序列相关，6为采用的滞后阶数；区间是月均差的区间，不是复合年化差的区间。小样本下推断仍不稳定，且未对全部探索性比较进行多重检验校正。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图3  样本外的日度回撤</w:t>
      </w:r>
    </w:p>
    <w:p>
      <w:pPr>
        <w:keepNext/>
        <w:snapToGrid w:val="0"/>
      </w:pPr>
      <w:r>
        <w:rPr>
          <w:rFonts w:eastAsia="Songti SC"/>
        </w:rPr>
        <w:drawing>
          <wp:inline xmlns:a="http://schemas.openxmlformats.org/drawingml/2006/main" xmlns:pic="http://schemas.openxmlformats.org/drawingml/2006/picture">
            <wp:extent cx="6012000" cy="2483291"/>
            <wp:docPr id="3" name="Picture 3" descr="图3  样本外的日度回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draw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48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="280" w:lineRule="exact"/>
      </w:pPr>
      <w:r>
        <w:rPr>
          <w:rFonts w:eastAsia="Songti SC"/>
          <w:b w:val="0"/>
          <w:sz w:val="18"/>
        </w:rPr>
        <w:t>回撤以各评价期内的历史峰值计算，包含期初净值。最小组日度最大回撤−45.16%，中证1000为−27.08%。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最小组的月末净值最大回撤仅为−33.53%，会遗漏月内更深的下跌。因此正文以日度回撤为主要风险指标，不能把较高收益解释为免费收益或低风险套利。</w:t>
      </w:r>
    </w:p>
    <w:p>
      <w:pPr>
        <w:pStyle w:val="Heading1"/>
        <w:pageBreakBefore/>
        <w:snapToGrid w:val="0"/>
        <w:spacing w:line="480" w:lineRule="exact"/>
      </w:pPr>
      <w:r>
        <w:rPr>
          <w:rFonts w:eastAsia="Songti SC"/>
          <w:color w:val="000000"/>
        </w:rPr>
        <w:t>4  ST规则和交易成本能否改变判断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为判断结果是否来自风险处置，对同一五档分别运行三套固定规则。以下聚焦冻结赢家；三套规则均在月末过滤已知风险状态，差别仅在持仓期间是否退出、退出后是否补仓。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表4  最小组的ST规则对照 2024—2025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25"/>
        <w:gridCol w:w="1814"/>
        <w:gridCol w:w="1587"/>
        <w:gridCol w:w="2098"/>
      </w:tblGrid>
      <w:tr>
        <w:trPr>
          <w:cantSplit/>
          <w:tblHeader/>
        </w:trPr>
        <w:tc>
          <w:tcPr>
            <w:tcW w:type="dxa" w:w="4025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/>
                <w:sz w:val="20"/>
              </w:rPr>
              <w:t>规则</w:t>
            </w:r>
          </w:p>
        </w:tc>
        <w:tc>
          <w:tcPr>
            <w:tcW w:type="dxa" w:w="1814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年化收益</w:t>
            </w:r>
          </w:p>
        </w:tc>
        <w:tc>
          <w:tcPr>
            <w:tcW w:type="dxa" w:w="1587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夏普</w:t>
            </w:r>
          </w:p>
        </w:tc>
        <w:tc>
          <w:tcPr>
            <w:tcW w:type="dxa" w:w="2098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日度最大回撤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仅月度过滤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23.67%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0.790</w:t>
            </w:r>
          </w:p>
        </w:tc>
        <w:tc>
          <w:tcPr>
            <w:tcW w:type="dxa" w:w="2098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-45.16%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触发退出 次月前留现金</w:t>
            </w:r>
          </w:p>
        </w:tc>
        <w:tc>
          <w:tcPr>
            <w:tcW w:type="dxa" w:w="181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23.35%</w:t>
            </w:r>
          </w:p>
        </w:tc>
        <w:tc>
          <w:tcPr>
            <w:tcW w:type="dxa" w:w="1587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0.782</w:t>
            </w:r>
          </w:p>
        </w:tc>
        <w:tc>
          <w:tcPr>
            <w:tcW w:type="dxa" w:w="2098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-45.16%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触发退出 下一交易日起补仓</w:t>
            </w:r>
          </w:p>
        </w:tc>
        <w:tc>
          <w:tcPr>
            <w:tcW w:type="dxa" w:w="181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23.42%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0.784</w:t>
            </w:r>
          </w:p>
        </w:tc>
        <w:tc>
          <w:tcPr>
            <w:tcW w:type="dxa" w:w="2098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-45.16%</w:t>
            </w:r>
          </w:p>
        </w:tc>
      </w:tr>
    </w:tbl>
    <w:p>
      <w:pPr>
        <w:spacing w:after="0" w:line="60" w:lineRule="exact"/>
        <w:snapToGrid w:val="0"/>
      </w:pPr>
      <w:r>
        <w:rPr>
          <w:rFonts w:eastAsia="Songti SC"/>
          <w:sz w:val="6"/>
        </w:rPr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退出并补仓的年化收益略低于仅月度过滤，三套规则的最大回撤几乎相同。相关配对差的不确定性区间也跨越0，因此不能宣称ST卖出规则已经带来可靠的收益或回撤改善。ST处置仍有风险管理含义，但不应以此忽略尚未披露风险和已发生的价格损失。</w:t>
      </w:r>
    </w:p>
    <w:p>
      <w:pPr>
        <w:pStyle w:val="Heading2"/>
        <w:snapToGrid w:val="0"/>
        <w:spacing w:line="360" w:lineRule="exact"/>
      </w:pPr>
      <w:r>
        <w:rPr>
          <w:rFonts w:eastAsia="Songti SC"/>
          <w:color w:val="000000"/>
        </w:rPr>
        <w:t>有卖出规则不等于能够及时离场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最小组全样本共有128次风险退出成交，其中97次发生延迟。002473.SZ的模型退出信号在2017年5月2日触发，直到12月29日才成交，延迟166个交易日；这些受阻期间的损益仍保留在组合。新增ST、停牌或退市不能事后从历史样本删除。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表5  最小组的单边成本敏感性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2494"/>
        <w:gridCol w:w="2494"/>
        <w:gridCol w:w="2381"/>
      </w:tblGrid>
      <w:tr>
        <w:trPr>
          <w:cantSplit/>
          <w:tblHeader/>
        </w:trPr>
        <w:tc>
          <w:tcPr>
            <w:tcW w:type="dxa" w:w="2154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/>
                <w:sz w:val="20"/>
              </w:rPr>
              <w:t>单边综合成本</w:t>
            </w:r>
          </w:p>
        </w:tc>
        <w:tc>
          <w:tcPr>
            <w:tcW w:type="dxa" w:w="2494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样本内年化收益</w:t>
            </w:r>
          </w:p>
        </w:tc>
        <w:tc>
          <w:tcPr>
            <w:tcW w:type="dxa" w:w="2494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样本外年化收益</w:t>
            </w:r>
          </w:p>
        </w:tc>
        <w:tc>
          <w:tcPr>
            <w:tcW w:type="dxa" w:w="2381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样本外夏普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10bp</w:t>
            </w:r>
          </w:p>
        </w:tc>
        <w:tc>
          <w:tcPr>
            <w:tcW w:type="dxa" w:w="249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24.12%</w:t>
            </w:r>
          </w:p>
        </w:tc>
        <w:tc>
          <w:tcPr>
            <w:tcW w:type="dxa" w:w="249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24.56%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0.811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30bp</w:t>
            </w:r>
          </w:p>
        </w:tc>
        <w:tc>
          <w:tcPr>
            <w:tcW w:type="dxa" w:w="249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22.99%</w:t>
            </w:r>
          </w:p>
        </w:tc>
        <w:tc>
          <w:tcPr>
            <w:tcW w:type="dxa" w:w="249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23.42%</w:t>
            </w:r>
          </w:p>
        </w:tc>
        <w:tc>
          <w:tcPr>
            <w:tcW w:type="dxa" w:w="238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0.784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50bp</w:t>
            </w:r>
          </w:p>
        </w:tc>
        <w:tc>
          <w:tcPr>
            <w:tcW w:type="dxa" w:w="249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21.88%</w:t>
            </w:r>
          </w:p>
        </w:tc>
        <w:tc>
          <w:tcPr>
            <w:tcW w:type="dxa" w:w="249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22.30%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0.757</w:t>
            </w:r>
          </w:p>
        </w:tc>
      </w:tr>
    </w:tbl>
    <w:p>
      <w:pPr>
        <w:spacing w:after="0" w:line="60" w:lineRule="exact"/>
        <w:snapToGrid w:val="0"/>
      </w:pPr>
      <w:r>
        <w:rPr>
          <w:rFonts w:eastAsia="Songti SC"/>
          <w:sz w:val="6"/>
        </w:rPr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成本不仅影响收益水平，也可能改变排序：10bp下，401—500组样本外年化收益高于最小组。退市主残值为0时，最小组样本外年化23.42%；按末次估值50%和100%处理时约为23.58%和23.73%。这只是残值情景，不代表核实后的清算回收款。</w:t>
      </w:r>
    </w:p>
    <w:p>
      <w:pPr>
        <w:pStyle w:val="Heading1"/>
        <w:pageBreakBefore/>
        <w:snapToGrid w:val="0"/>
        <w:spacing w:line="480" w:lineRule="exact"/>
      </w:pPr>
      <w:r>
        <w:rPr>
          <w:rFonts w:eastAsia="Songti SC"/>
          <w:color w:val="000000"/>
        </w:rPr>
        <w:t>5  已知特征解释了多少区间差异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在每月前500名内，以个股下一月复权毛收益为被解释变量。简化模型只放入四个区间虚拟变量，以1—100组为参照；完整模型加入历史行业、过去20交易日平均成交额的对数、上月收益和归母净利润TTM是否亏损。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两个模型使用完全相同的有效股票样本，连续解释变量按月横截面1%与99%缩尾，再将各月系数按时期汇总并计算HAC(6)区间。回归不用于选股，也不参与更换赢家。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图4  控制前后相对最小组的毛收益差</w:t>
      </w:r>
    </w:p>
    <w:p>
      <w:pPr>
        <w:keepNext/>
        <w:snapToGrid w:val="0"/>
      </w:pPr>
      <w:r>
        <w:rPr>
          <w:rFonts w:eastAsia="Songti SC"/>
        </w:rPr>
        <w:drawing>
          <wp:inline xmlns:a="http://schemas.openxmlformats.org/drawingml/2006/main" xmlns:pic="http://schemas.openxmlformats.org/drawingml/2006/picture">
            <wp:extent cx="6012000" cy="2668082"/>
            <wp:docPr id="4" name="Picture 4" descr="图4  控制前后相对最小组的毛收益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interv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668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="280" w:lineRule="exact"/>
      </w:pPr>
      <w:r>
        <w:rPr>
          <w:rFonts w:eastAsia="Songti SC"/>
          <w:b w:val="0"/>
          <w:sz w:val="18"/>
        </w:rPr>
        <w:t>每个点代表月度横截面系数的时间平均；横线为HAC(6) 95%区间。完整模型与简化模型样本一致。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样本内加入控制后，负向区间差异整体缩小，但部分差异仍存在；样本外各区间的估计区间均包含0。结果说明部分差异与这些特征共同变化，既不能证明因果关系，也不能把剩余系数命名为成本后策略Alpha或壳价值。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表6  控制回归的有效样本覆盖 132个月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/>
                <w:sz w:val="20"/>
              </w:rPr>
              <w:t>过滤后名次</w:t>
            </w:r>
          </w:p>
        </w:tc>
        <w:tc>
          <w:tcPr>
            <w:tcW w:type="dxa" w:w="3175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平均覆盖率</w:t>
            </w:r>
          </w:p>
        </w:tc>
        <w:tc>
          <w:tcPr>
            <w:tcW w:type="dxa" w:w="3175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最低单月覆盖率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1—100</w:t>
            </w:r>
          </w:p>
        </w:tc>
        <w:tc>
          <w:tcPr>
            <w:tcW w:type="dxa" w:w="3175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93.67%</w:t>
            </w:r>
          </w:p>
        </w:tc>
        <w:tc>
          <w:tcPr>
            <w:tcW w:type="dxa" w:w="3175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58.00%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101—200</w:t>
            </w:r>
          </w:p>
        </w:tc>
        <w:tc>
          <w:tcPr>
            <w:tcW w:type="dxa" w:w="3175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95.77%</w:t>
            </w:r>
          </w:p>
        </w:tc>
        <w:tc>
          <w:tcPr>
            <w:tcW w:type="dxa" w:w="3175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78.00%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201—300</w:t>
            </w:r>
          </w:p>
        </w:tc>
        <w:tc>
          <w:tcPr>
            <w:tcW w:type="dxa" w:w="3175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96.39%</w:t>
            </w:r>
          </w:p>
        </w:tc>
        <w:tc>
          <w:tcPr>
            <w:tcW w:type="dxa" w:w="3175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82.00%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301—400</w:t>
            </w:r>
          </w:p>
        </w:tc>
        <w:tc>
          <w:tcPr>
            <w:tcW w:type="dxa" w:w="3175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96.11%</w:t>
            </w:r>
          </w:p>
        </w:tc>
        <w:tc>
          <w:tcPr>
            <w:tcW w:type="dxa" w:w="3175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84.00%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401—500</w:t>
            </w:r>
          </w:p>
        </w:tc>
        <w:tc>
          <w:tcPr>
            <w:tcW w:type="dxa" w:w="3175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96.08%</w:t>
            </w:r>
          </w:p>
        </w:tc>
        <w:tc>
          <w:tcPr>
            <w:tcW w:type="dxa" w:w="3175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87.00%</w:t>
            </w:r>
          </w:p>
        </w:tc>
      </w:tr>
    </w:tbl>
    <w:p>
      <w:pPr>
        <w:spacing w:after="0" w:line="60" w:lineRule="exact"/>
        <w:snapToGrid w:val="0"/>
      </w:pPr>
      <w:r>
        <w:rPr>
          <w:rFonts w:eastAsia="Songti SC"/>
          <w:sz w:val="6"/>
        </w:rPr>
      </w:r>
    </w:p>
    <w:p>
      <w:pPr>
        <w:snapToGrid w:val="0"/>
        <w:spacing w:line="280" w:lineRule="exact"/>
      </w:pPr>
      <w:r>
        <w:rPr>
          <w:rFonts w:eastAsia="Songti SC"/>
          <w:b w:val="0"/>
          <w:sz w:val="18"/>
        </w:rPr>
        <w:t>缺少财报或控制变量只影响回归样本，不改变投资组合名次。最小组覆盖较弱，因此回归结果描述的是可观测有效样本，不能无条件外推到全部持仓。壳价值若要直接识别，需要借壳事件等额外证据。</w:t>
      </w:r>
    </w:p>
    <w:p>
      <w:pPr>
        <w:pStyle w:val="Heading1"/>
        <w:pageBreakBefore/>
        <w:snapToGrid w:val="0"/>
        <w:spacing w:line="480" w:lineRule="exact"/>
      </w:pPr>
      <w:r>
        <w:rPr>
          <w:rFonts w:eastAsia="Songti SC"/>
          <w:color w:val="000000"/>
        </w:rPr>
        <w:t>6  扩展到第1000名后是否仍有市值梯度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新增501—600、601—700、701—800、801—900、901—1000五档，每档100只，沿用同一历史股票池、ST规则、月度调整和30bp成本。新增区间只作事后扩展检验，不进入原五档选优，不更换冻结赢家。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图5  从第1名到第1000名的收益与夏普</w:t>
      </w:r>
    </w:p>
    <w:p>
      <w:pPr>
        <w:keepNext/>
        <w:snapToGrid w:val="0"/>
      </w:pPr>
      <w:r>
        <w:rPr>
          <w:rFonts w:eastAsia="Songti SC"/>
        </w:rPr>
        <w:drawing>
          <wp:inline xmlns:a="http://schemas.openxmlformats.org/drawingml/2006/main" xmlns:pic="http://schemas.openxmlformats.org/drawingml/2006/picture">
            <wp:extent cx="6012000" cy="2356610"/>
            <wp:docPr id="5" name="Picture 5" descr="图5  从第1名到第1000名的收益与夏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nded_ba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35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="280" w:lineRule="exact"/>
      </w:pPr>
      <w:r>
        <w:rPr>
          <w:rFonts w:eastAsia="Songti SC"/>
          <w:b w:val="0"/>
          <w:sz w:val="18"/>
        </w:rPr>
        <w:t>虚线右侧为新增区间；左侧五档是原选优候选。均为过滤后的总市值排名，不是原始全市场排名。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表7  新增五档的描述性绩效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984"/>
        <w:gridCol w:w="1984"/>
        <w:gridCol w:w="1587"/>
        <w:gridCol w:w="2041"/>
      </w:tblGrid>
      <w:tr>
        <w:trPr>
          <w:cantSplit/>
          <w:tblHeader/>
        </w:trPr>
        <w:tc>
          <w:tcPr>
            <w:tcW w:type="dxa" w:w="1928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/>
                <w:sz w:val="19"/>
              </w:rPr>
              <w:t>扩展名次</w:t>
            </w:r>
          </w:p>
        </w:tc>
        <w:tc>
          <w:tcPr>
            <w:tcW w:type="dxa" w:w="1984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19"/>
              </w:rPr>
              <w:t>样本内</w:t>
              <w:br/>
              <w:t>年化收益</w:t>
            </w:r>
          </w:p>
        </w:tc>
        <w:tc>
          <w:tcPr>
            <w:tcW w:type="dxa" w:w="1984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19"/>
              </w:rPr>
              <w:t>样本外</w:t>
              <w:br/>
              <w:t>年化收益</w:t>
            </w:r>
          </w:p>
        </w:tc>
        <w:tc>
          <w:tcPr>
            <w:tcW w:type="dxa" w:w="1587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19"/>
              </w:rPr>
              <w:t>样本外</w:t>
              <w:br/>
              <w:t>夏普</w:t>
            </w:r>
          </w:p>
        </w:tc>
        <w:tc>
          <w:tcPr>
            <w:tcW w:type="dxa" w:w="2041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19"/>
              </w:rPr>
              <w:t>样本外</w:t>
              <w:br/>
              <w:t>日度回撤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9"/>
              </w:rPr>
              <w:t>501—600</w:t>
            </w:r>
          </w:p>
        </w:tc>
        <w:tc>
          <w:tcPr>
            <w:tcW w:type="dxa" w:w="198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3.94%</w:t>
            </w:r>
          </w:p>
        </w:tc>
        <w:tc>
          <w:tcPr>
            <w:tcW w:type="dxa" w:w="198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14.17%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0.610</w:t>
            </w:r>
          </w:p>
        </w:tc>
        <w:tc>
          <w:tcPr>
            <w:tcW w:type="dxa" w:w="204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-38.12%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9"/>
              </w:rPr>
              <w:t>601—700</w:t>
            </w:r>
          </w:p>
        </w:tc>
        <w:tc>
          <w:tcPr>
            <w:tcW w:type="dxa" w:w="198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2.87%</w:t>
            </w:r>
          </w:p>
        </w:tc>
        <w:tc>
          <w:tcPr>
            <w:tcW w:type="dxa" w:w="198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14.97%</w:t>
            </w:r>
          </w:p>
        </w:tc>
        <w:tc>
          <w:tcPr>
            <w:tcW w:type="dxa" w:w="1587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0.652</w:t>
            </w:r>
          </w:p>
        </w:tc>
        <w:tc>
          <w:tcPr>
            <w:tcW w:type="dxa" w:w="204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-34.30%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9"/>
              </w:rPr>
              <w:t>701—800</w:t>
            </w:r>
          </w:p>
        </w:tc>
        <w:tc>
          <w:tcPr>
            <w:tcW w:type="dxa" w:w="198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-0.07%</w:t>
            </w:r>
          </w:p>
        </w:tc>
        <w:tc>
          <w:tcPr>
            <w:tcW w:type="dxa" w:w="198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16.26%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0.682</w:t>
            </w:r>
          </w:p>
        </w:tc>
        <w:tc>
          <w:tcPr>
            <w:tcW w:type="dxa" w:w="204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-33.01%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9"/>
              </w:rPr>
              <w:t>801—900</w:t>
            </w:r>
          </w:p>
        </w:tc>
        <w:tc>
          <w:tcPr>
            <w:tcW w:type="dxa" w:w="198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-2.18%</w:t>
            </w:r>
          </w:p>
        </w:tc>
        <w:tc>
          <w:tcPr>
            <w:tcW w:type="dxa" w:w="198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12.59%</w:t>
            </w:r>
          </w:p>
        </w:tc>
        <w:tc>
          <w:tcPr>
            <w:tcW w:type="dxa" w:w="1587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0.567</w:t>
            </w:r>
          </w:p>
        </w:tc>
        <w:tc>
          <w:tcPr>
            <w:tcW w:type="dxa" w:w="204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-33.98%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9"/>
              </w:rPr>
              <w:t>901—1000</w:t>
            </w:r>
          </w:p>
        </w:tc>
        <w:tc>
          <w:tcPr>
            <w:tcW w:type="dxa" w:w="198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-2.32%</w:t>
            </w:r>
          </w:p>
        </w:tc>
        <w:tc>
          <w:tcPr>
            <w:tcW w:type="dxa" w:w="198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8.12%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0.421</w:t>
            </w:r>
          </w:p>
        </w:tc>
        <w:tc>
          <w:tcPr>
            <w:tcW w:type="dxa" w:w="204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-36.54%</w:t>
            </w:r>
          </w:p>
        </w:tc>
      </w:tr>
    </w:tbl>
    <w:p>
      <w:pPr>
        <w:spacing w:after="0" w:line="60" w:lineRule="exact"/>
        <w:snapToGrid w:val="0"/>
      </w:pPr>
      <w:r>
        <w:rPr>
          <w:rFonts w:eastAsia="Songti SC"/>
          <w:sz w:val="6"/>
        </w:rPr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样本内新增区间的年化收益从约3.94%下降至−2.32%，与较强的小市值收益梯度一致。样本外新增五档为8.12%—16.26%，均低于最小组，但501—800之间反而递增，原五档中也有反转。扩展支持“本样本最小组收益较好”，仍不支持严格单调规律。</w:t>
      </w:r>
    </w:p>
    <w:p>
      <w:pPr>
        <w:snapToGrid w:val="0"/>
        <w:spacing w:line="280" w:lineRule="exact"/>
      </w:pPr>
      <w:r>
        <w:rPr>
          <w:rFonts w:eastAsia="Songti SC"/>
          <w:b w:val="0"/>
          <w:sz w:val="18"/>
        </w:rPr>
        <w:t>新增覆盖为132个月×500只目标股票。000693.SZ在2018-07-13至2019-05-24暂停上市的209个交易日已用原始公告补证，保留受阻持仓及损失；没有补造报价。停牌末次估值仍可能推迟损失确认。本页未新增特征回归或独立样本，不作为确认性显著性证据。</w:t>
      </w:r>
    </w:p>
    <w:p>
      <w:pPr>
        <w:pStyle w:val="Heading1"/>
        <w:pageBreakBefore/>
        <w:snapToGrid w:val="0"/>
        <w:spacing w:line="480" w:lineRule="exact"/>
      </w:pPr>
      <w:r>
        <w:rPr>
          <w:rFonts w:eastAsia="Songti SC"/>
          <w:color w:val="000000"/>
        </w:rPr>
        <w:t>7  把资金规模转化为可检验的订单约束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资金实验只针对冻结赢家1—100组。分别在2015年初和2024年初从现金开始，投入10、20、30、50、100、200、500万元，期间收益留在账户，不追加资金。两段实验分别与相同期初现金建仓的连续份额组合比较，避免把前期累计盈利误作初始资金的执行能力。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表8  分步加入执行约束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969"/>
        <w:gridCol w:w="3685"/>
      </w:tblGrid>
      <w:tr>
        <w:trPr>
          <w:cantSplit/>
          <w:tblHeader/>
        </w:trPr>
        <w:tc>
          <w:tcPr>
            <w:tcW w:type="dxa" w:w="1871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/>
                <w:sz w:val="20"/>
              </w:rPr>
              <w:t>情景</w:t>
            </w:r>
          </w:p>
        </w:tc>
        <w:tc>
          <w:tcPr>
            <w:tcW w:type="dxa" w:w="3969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/>
                <w:sz w:val="20"/>
              </w:rPr>
              <w:t>订单数量</w:t>
            </w:r>
          </w:p>
        </w:tc>
        <w:tc>
          <w:tcPr>
            <w:tcW w:type="dxa" w:w="3685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/>
                <w:sz w:val="20"/>
              </w:rPr>
              <w:t>成本口径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连续份额对照</w:t>
            </w:r>
          </w:p>
        </w:tc>
        <w:tc>
          <w:tcPr>
            <w:tcW w:type="dxa" w:w="3969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保留原有连续数量，其他时序相同。</w:t>
            </w:r>
          </w:p>
        </w:tc>
        <w:tc>
          <w:tcPr>
            <w:tcW w:type="dxa" w:w="3685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单边30bp，无最低收费。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整手</w:t>
            </w:r>
          </w:p>
        </w:tc>
        <w:tc>
          <w:tcPr>
            <w:tcW w:type="dxa" w:w="3969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买单向下取100股整数倍；部分减仓向下取整手，清仓释放剩余余额。</w:t>
            </w:r>
          </w:p>
        </w:tc>
        <w:tc>
          <w:tcPr>
            <w:tcW w:type="dxa" w:w="3685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单边30bp，无最低收费。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整手加最低佣金</w:t>
            </w:r>
          </w:p>
        </w:tc>
        <w:tc>
          <w:tcPr>
            <w:tcW w:type="dxa" w:w="3969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沿用整手约束；含最低收费的预算不足一手时不买入，不替换为别的股票。</w:t>
            </w:r>
          </w:p>
        </w:tc>
        <w:tc>
          <w:tcPr>
            <w:tcW w:type="dxa" w:w="3685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27.5bp综合其他成本＋max（2.5bp佣金，5元），买卖分别计费。</w:t>
            </w:r>
          </w:p>
        </w:tc>
      </w:tr>
    </w:tbl>
    <w:p>
      <w:pPr>
        <w:spacing w:after="0" w:line="60" w:lineRule="exact"/>
        <w:snapToGrid w:val="0"/>
      </w:pPr>
      <w:r>
        <w:rPr>
          <w:rFonts w:eastAsia="Songti SC"/>
          <w:sz w:val="6"/>
        </w:rPr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2.5bp佣金是显式情景参数，并非已取得的个人账户报价。把它作为30bp综合成本中的一部分，再增加不足5元的差额，可避免重复收取佣金。每个股票、每个交易日、每个买卖方向的一笔成交按一笔订单计费；未成交不收费。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表9  每笔费用示例 单位为元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2381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/>
                <w:sz w:val="20"/>
              </w:rPr>
              <w:t>成交金额</w:t>
            </w:r>
          </w:p>
        </w:tc>
        <w:tc>
          <w:tcPr>
            <w:tcW w:type="dxa" w:w="2381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30bp原成本</w:t>
            </w:r>
          </w:p>
        </w:tc>
        <w:tc>
          <w:tcPr>
            <w:tcW w:type="dxa" w:w="2381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含最低佣金成本</w:t>
            </w:r>
          </w:p>
        </w:tc>
        <w:tc>
          <w:tcPr>
            <w:tcW w:type="dxa" w:w="2381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20"/>
              </w:rPr>
              <w:t>增加费用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1,000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3.00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7.75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4.75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10,000</w:t>
            </w:r>
          </w:p>
        </w:tc>
        <w:tc>
          <w:tcPr>
            <w:tcW w:type="dxa" w:w="238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30.00</w:t>
            </w:r>
          </w:p>
        </w:tc>
        <w:tc>
          <w:tcPr>
            <w:tcW w:type="dxa" w:w="238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32.50</w:t>
            </w:r>
          </w:p>
        </w:tc>
        <w:tc>
          <w:tcPr>
            <w:tcW w:type="dxa" w:w="238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2.50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20"/>
              </w:rPr>
              <w:t>20,000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60.00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60.00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20"/>
              </w:rPr>
              <w:t>0.00</w:t>
            </w:r>
          </w:p>
        </w:tc>
      </w:tr>
    </w:tbl>
    <w:p>
      <w:pPr>
        <w:spacing w:after="0" w:line="60" w:lineRule="exact"/>
        <w:snapToGrid w:val="0"/>
      </w:pPr>
      <w:r>
        <w:rPr>
          <w:rFonts w:eastAsia="Songti SC"/>
          <w:sz w:val="6"/>
        </w:rPr>
      </w:r>
    </w:p>
    <w:p>
      <w:pPr>
        <w:pStyle w:val="Heading2"/>
        <w:snapToGrid w:val="0"/>
        <w:spacing w:line="360" w:lineRule="exact"/>
      </w:pPr>
      <w:r>
        <w:rPr>
          <w:rFonts w:eastAsia="Songti SC"/>
          <w:color w:val="000000"/>
        </w:rPr>
        <w:t>数量与资金约束怎样执行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按当日复权因子将连续份额换算为未复权股数，确定100股买入单位；在开盘前以涨停价和完整费用锁定预算。各订单预算总额不得超过前收盘现金，卖款最早下一交易日使用。不足一手的预算留作现金，不用当日价格重新顺延选股。</w:t>
      </w:r>
    </w:p>
    <w:p>
      <w:pPr>
        <w:pStyle w:val="Heading2"/>
        <w:snapToGrid w:val="0"/>
        <w:spacing w:line="360" w:lineRule="exact"/>
      </w:pPr>
      <w:r>
        <w:rPr>
          <w:rFonts w:eastAsia="Songti SC"/>
          <w:color w:val="000000"/>
        </w:rPr>
        <w:t>这项实验的边界</w:t>
      </w:r>
    </w:p>
    <w:p>
      <w:pPr>
        <w:snapToGrid w:val="0"/>
        <w:spacing w:line="280" w:lineRule="exact"/>
      </w:pPr>
      <w:r>
        <w:rPr>
          <w:rFonts w:eastAsia="Songti SC"/>
        </w:rPr>
        <w:t>复权账户仍假设分红等收益自动再投资，未逐笔重建派息到账、红股、税款及真实整数持股登记；清仓时可能释放复权记账形成的非整数等价份额。因此这是“订单整手与费用敏感性”，不能标为完整实盘账户模拟。本节仅检验整手及最低佣金；第12—14节另加入日成交额上限和增量冲击。盘口排队与实测冲击校准仍未完成。</w:t>
      </w:r>
    </w:p>
    <w:p>
      <w:pPr>
        <w:pStyle w:val="Heading1"/>
        <w:pageBreakBefore/>
        <w:snapToGrid w:val="0"/>
        <w:spacing w:line="480" w:lineRule="exact"/>
      </w:pPr>
      <w:r>
        <w:rPr>
          <w:rFonts w:eastAsia="Songti SC"/>
          <w:color w:val="000000"/>
        </w:rPr>
        <w:t>8  小资金的主要代价是闲置与费用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图6  期初资金与年化收益的执行敏感性</w:t>
      </w:r>
    </w:p>
    <w:p>
      <w:pPr>
        <w:keepNext/>
        <w:snapToGrid w:val="0"/>
      </w:pPr>
      <w:r>
        <w:rPr>
          <w:rFonts w:eastAsia="Songti SC"/>
        </w:rPr>
        <w:drawing>
          <wp:inline xmlns:a="http://schemas.openxmlformats.org/drawingml/2006/main" xmlns:pic="http://schemas.openxmlformats.org/drawingml/2006/picture">
            <wp:extent cx="6012000" cy="2397748"/>
            <wp:docPr id="6" name="Picture 6" descr="图6  期初资金与年化收益的执行敏感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ital_sensi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397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line="280" w:lineRule="exact"/>
      </w:pPr>
      <w:r>
        <w:rPr>
          <w:rFonts w:eastAsia="Songti SC"/>
          <w:b w:val="0"/>
          <w:sz w:val="18"/>
        </w:rPr>
        <w:t>两段分别从现金开始；虚线为同起点的连续份额对照。整手加最低佣金是在整手基础上加入最低收费，不是重新选优。</w:t>
      </w:r>
    </w:p>
    <w:p>
      <w:pPr>
        <w:keepNext/>
        <w:snapToGrid w:val="0"/>
        <w:spacing w:line="280" w:lineRule="exact"/>
      </w:pPr>
      <w:r>
        <w:rPr>
          <w:rFonts w:eastAsia="Songti SC"/>
          <w:b/>
        </w:rPr>
        <w:t>表10  2024年初投入资金后的结果 2024—2025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1644"/>
        <w:gridCol w:w="1928"/>
        <w:gridCol w:w="1757"/>
        <w:gridCol w:w="1587"/>
        <w:gridCol w:w="1417"/>
      </w:tblGrid>
      <w:tr>
        <w:trPr>
          <w:cantSplit/>
          <w:tblHeader/>
        </w:trPr>
        <w:tc>
          <w:tcPr>
            <w:tcW w:type="dxa" w:w="1191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/>
                <w:sz w:val="19"/>
              </w:rPr>
              <w:t>期初</w:t>
              <w:br/>
              <w:t>万元</w:t>
            </w:r>
          </w:p>
        </w:tc>
        <w:tc>
          <w:tcPr>
            <w:tcW w:type="dxa" w:w="1644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19"/>
              </w:rPr>
              <w:t>仅整手</w:t>
              <w:br/>
              <w:t>年化收益</w:t>
            </w:r>
          </w:p>
        </w:tc>
        <w:tc>
          <w:tcPr>
            <w:tcW w:type="dxa" w:w="1928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19"/>
              </w:rPr>
              <w:t>加最低佣金</w:t>
              <w:br/>
              <w:t>年化收益</w:t>
            </w:r>
          </w:p>
        </w:tc>
        <w:tc>
          <w:tcPr>
            <w:tcW w:type="dxa" w:w="1757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19"/>
              </w:rPr>
              <w:t>加最低佣金</w:t>
              <w:br/>
              <w:t>夏普</w:t>
            </w:r>
          </w:p>
        </w:tc>
        <w:tc>
          <w:tcPr>
            <w:tcW w:type="dxa" w:w="1587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19"/>
              </w:rPr>
              <w:t>平均现金</w:t>
              <w:br/>
              <w:t>占比</w:t>
            </w:r>
          </w:p>
        </w:tc>
        <w:tc>
          <w:tcPr>
            <w:tcW w:type="dxa" w:w="1417"/>
            <w:vAlign w:val="center"/>
            <w:shd w:fill="E7EBEE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/>
                <w:sz w:val="19"/>
              </w:rPr>
              <w:t>平均</w:t>
              <w:br/>
              <w:t>持股数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9"/>
              </w:rPr>
              <w:t>10</w:t>
            </w:r>
          </w:p>
        </w:tc>
        <w:tc>
          <w:tcPr>
            <w:tcW w:type="dxa" w:w="164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19.21%</w:t>
            </w:r>
          </w:p>
        </w:tc>
        <w:tc>
          <w:tcPr>
            <w:tcW w:type="dxa" w:w="1928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17.17%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0.898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45.58%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66.6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9"/>
              </w:rPr>
              <w:t>20</w:t>
            </w:r>
          </w:p>
        </w:tc>
        <w:tc>
          <w:tcPr>
            <w:tcW w:type="dxa" w:w="164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22.47%</w:t>
            </w:r>
          </w:p>
        </w:tc>
        <w:tc>
          <w:tcPr>
            <w:tcW w:type="dxa" w:w="1928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19.73%</w:t>
            </w:r>
          </w:p>
        </w:tc>
        <w:tc>
          <w:tcPr>
            <w:tcW w:type="dxa" w:w="1757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0.802</w:t>
            </w:r>
          </w:p>
        </w:tc>
        <w:tc>
          <w:tcPr>
            <w:tcW w:type="dxa" w:w="1587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22.15%</w:t>
            </w:r>
          </w:p>
        </w:tc>
        <w:tc>
          <w:tcPr>
            <w:tcW w:type="dxa" w:w="1417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95.2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9"/>
              </w:rPr>
              <w:t>30</w:t>
            </w:r>
          </w:p>
        </w:tc>
        <w:tc>
          <w:tcPr>
            <w:tcW w:type="dxa" w:w="164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22.72%</w:t>
            </w:r>
          </w:p>
        </w:tc>
        <w:tc>
          <w:tcPr>
            <w:tcW w:type="dxa" w:w="1928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21.35%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0.803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14.79%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99.8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9"/>
              </w:rPr>
              <w:t>50</w:t>
            </w:r>
          </w:p>
        </w:tc>
        <w:tc>
          <w:tcPr>
            <w:tcW w:type="dxa" w:w="164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22.22%</w:t>
            </w:r>
          </w:p>
        </w:tc>
        <w:tc>
          <w:tcPr>
            <w:tcW w:type="dxa" w:w="1928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21.21%</w:t>
            </w:r>
          </w:p>
        </w:tc>
        <w:tc>
          <w:tcPr>
            <w:tcW w:type="dxa" w:w="1757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0.767</w:t>
            </w:r>
          </w:p>
        </w:tc>
        <w:tc>
          <w:tcPr>
            <w:tcW w:type="dxa" w:w="1587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9.38%</w:t>
            </w:r>
          </w:p>
        </w:tc>
        <w:tc>
          <w:tcPr>
            <w:tcW w:type="dxa" w:w="1417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100.2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9"/>
              </w:rPr>
              <w:t>100</w:t>
            </w:r>
          </w:p>
        </w:tc>
        <w:tc>
          <w:tcPr>
            <w:tcW w:type="dxa" w:w="164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22.79%</w:t>
            </w:r>
          </w:p>
        </w:tc>
        <w:tc>
          <w:tcPr>
            <w:tcW w:type="dxa" w:w="1928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22.00%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0.764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5.04%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100.2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9"/>
              </w:rPr>
              <w:t>200</w:t>
            </w:r>
          </w:p>
        </w:tc>
        <w:tc>
          <w:tcPr>
            <w:tcW w:type="dxa" w:w="1644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22.65%</w:t>
            </w:r>
          </w:p>
        </w:tc>
        <w:tc>
          <w:tcPr>
            <w:tcW w:type="dxa" w:w="1928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22.22%</w:t>
            </w:r>
          </w:p>
        </w:tc>
        <w:tc>
          <w:tcPr>
            <w:tcW w:type="dxa" w:w="1757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0.759</w:t>
            </w:r>
          </w:p>
        </w:tc>
        <w:tc>
          <w:tcPr>
            <w:tcW w:type="dxa" w:w="1587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2.92%</w:t>
            </w:r>
          </w:p>
        </w:tc>
        <w:tc>
          <w:tcPr>
            <w:tcW w:type="dxa" w:w="1417"/>
            <w:vAlign w:val="center"/>
            <w:shd w:fill="F5F7F8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100.2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eastAsia="Songti SC"/>
                <w:b w:val="0"/>
                <w:sz w:val="19"/>
              </w:rPr>
              <w:t>500</w:t>
            </w:r>
          </w:p>
        </w:tc>
        <w:tc>
          <w:tcPr>
            <w:tcW w:type="dxa" w:w="1644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22.65%</w:t>
            </w:r>
          </w:p>
        </w:tc>
        <w:tc>
          <w:tcPr>
            <w:tcW w:type="dxa" w:w="1928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22.47%</w:t>
            </w:r>
          </w:p>
        </w:tc>
        <w:tc>
          <w:tcPr>
            <w:tcW w:type="dxa" w:w="175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0.761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1.84%</w:t>
            </w:r>
          </w:p>
        </w:tc>
        <w:tc>
          <w:tcPr>
            <w:tcW w:type="dxa" w:w="1417"/>
            <w:vAlign w:val="center"/>
            <w:shd w:fill="FFFFFF"/>
            <w:tcMar>
              <w:top w:w="60" w:type="dxa"/>
              <w:left w:w="85" w:type="dxa"/>
              <w:bottom w:w="60" w:type="dxa"/>
              <w:right w:w="85" w:type="dxa"/>
            </w:tcMar>
          </w:tcPr>
          <w:p>
            <w:pPr>
              <w:spacing w:after="20" w:before="20" w:line="260" w:lineRule="exact"/>
              <w:jc w:val="center"/>
              <w:snapToGrid w:val="0"/>
            </w:pPr>
            <w:r>
              <w:rPr>
                <w:rFonts w:eastAsia="Songti SC"/>
                <w:b w:val="0"/>
                <w:sz w:val="19"/>
              </w:rPr>
              <w:t>100.2</w:t>
            </w:r>
          </w:p>
        </w:tc>
      </w:tr>
    </w:tbl>
    <w:p>
      <w:pPr>
        <w:spacing w:after="0" w:line="60" w:lineRule="exact"/>
        <w:snapToGrid w:val="0"/>
      </w:pPr>
      <w:r>
        <w:rPr>
          <w:rFonts w:eastAsia="Songti SC"/>
          <w:sz w:val="6"/>
        </w:rPr>
      </w:r>
    </w:p>
    <w:p>
      <w:pPr>
        <w:snapToGrid w:val="0"/>
        <w:spacing w:line="280" w:lineRule="exact"/>
      </w:pPr>
      <w:r>
        <w:rPr>
          <w:rFonts w:eastAsia="Songti SC"/>
          <w:b w:val="0"/>
          <w:sz w:val="18"/>
        </w:rPr>
        <w:t>后3列均为“整手加最低佣金”情景。平均持股数包含未清零余仓和受阻退出，超过100不表示增加选股名额。相同现金起点的连续份额对照年化22.88%、夏普0.769、平均现金1.22%；原策略样本外23.42%承接前期持仓，口径不同。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10万元时平均仅持有66.6只、现金约45.58%，已经偏离100只股票等权目标。100万元时平均现金约5.04%，年化收益较同起点连续份额对照低0.89个百分点；其中最低佣金相对仅整手情景再降低约0.80个百分点。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小资金情景的夏普或回撤较好，部分源于较低仓位：10万元加最低佣金时日度回撤为-22.35%，100万元时为-43.34%。这不是选股能力提升。100万—200万元在本模型中更接近连续份额暴露，但不能据此给出保证收益的资金门槛或可承载资金上限。</w:t>
      </w:r>
    </w:p>
    <w:p>
      <w:pPr>
        <w:pStyle w:val="Heading1"/>
        <w:pageBreakBefore/>
        <w:spacing w:line="480" w:lineRule="exact"/>
      </w:pPr>
      <w:r>
        <w:rPr>
          <w:rFonts w:eastAsia="Songti SC"/>
          <w:color w:val="000000"/>
        </w:rPr>
        <w:t>9  收益来源与时间集中度</w:t>
      </w:r>
    </w:p>
    <w:p>
      <w:pPr>
        <w:spacing w:line="280" w:lineRule="exact" w:after="80"/>
      </w:pPr>
      <w:r>
        <w:rPr>
          <w:rFonts w:eastAsia="Songti SC"/>
          <w:sz w:val="20"/>
        </w:rPr>
        <w:t>最小市值组的优势伴随明显的时间集中度。分组与控制回归支持对市值相关收益差异的描述，但不能识别独立Alpha或壳价值。本节固定原赢家和交易规则，仅检查收益来自哪些时期，不再选组或优化参数。</w:t>
      </w:r>
    </w:p>
    <w:p>
      <w:pPr>
        <w:pStyle w:val="Heading2"/>
        <w:spacing w:line="360" w:lineRule="exact"/>
      </w:pPr>
      <w:r>
        <w:rPr>
          <w:rFonts w:eastAsia="Songti SC"/>
          <w:color w:val="000000"/>
        </w:rPr>
        <w:t>市值梯度提供横截面证据</w:t>
      </w:r>
    </w:p>
    <w:p>
      <w:pPr>
        <w:spacing w:line="280" w:lineRule="exact" w:after="80"/>
      </w:pPr>
      <w:r>
        <w:rPr>
          <w:rFonts w:eastAsia="Songti SC"/>
          <w:sz w:val="20"/>
        </w:rPr>
        <w:t>原五档与新增501—1000名区间在样本内总体呈现较小市值收益较高的特征，但样本外存在区间反转，401—500组的夏普也高于最小组。结合第5节同样本控制回归，现有结果更适合表述为“与市值及相关特征共同变化的收益差异”，不应将全部收益归因于单一市值因子。</w:t>
      </w:r>
    </w:p>
    <w:p>
      <w:pPr>
        <w:spacing w:line="280" w:lineRule="exact" w:after="80"/>
      </w:pPr>
      <w:r>
        <w:rPr>
          <w:rFonts w:eastAsia="Songti SC"/>
          <w:sz w:val="20"/>
        </w:rPr>
        <w:t>表11  原策略逐年收益与市场背景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12"/>
        <w:gridCol w:w="3912"/>
      </w:tblGrid>
      <w:tr>
        <w:trPr>
          <w:cantSplit/>
          <w:tblHeader/>
        </w:trPr>
        <w:tc>
          <w:tcPr>
            <w:tcW w:type="dxa" w:w="1701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/>
                <w:sz w:val="18"/>
              </w:rPr>
              <w:t>年份</w:t>
            </w:r>
          </w:p>
        </w:tc>
        <w:tc>
          <w:tcPr>
            <w:tcW w:type="dxa" w:w="3912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原策略成本后收益</w:t>
            </w:r>
          </w:p>
        </w:tc>
        <w:tc>
          <w:tcPr>
            <w:tcW w:type="dxa" w:w="3912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中证1000价格收益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2015</w:t>
            </w:r>
          </w:p>
        </w:tc>
        <w:tc>
          <w:tcPr>
            <w:tcW w:type="dxa" w:w="3912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158.16%</w:t>
            </w:r>
          </w:p>
        </w:tc>
        <w:tc>
          <w:tcPr>
            <w:tcW w:type="dxa" w:w="3912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76.10%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2016</w:t>
            </w:r>
          </w:p>
        </w:tc>
        <w:tc>
          <w:tcPr>
            <w:tcW w:type="dxa" w:w="3912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30.36%</w:t>
            </w:r>
          </w:p>
        </w:tc>
        <w:tc>
          <w:tcPr>
            <w:tcW w:type="dxa" w:w="3912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-20.01%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2017</w:t>
            </w:r>
          </w:p>
        </w:tc>
        <w:tc>
          <w:tcPr>
            <w:tcW w:type="dxa" w:w="3912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-25.75%</w:t>
            </w:r>
          </w:p>
        </w:tc>
        <w:tc>
          <w:tcPr>
            <w:tcW w:type="dxa" w:w="3912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-17.35%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2018</w:t>
            </w:r>
          </w:p>
        </w:tc>
        <w:tc>
          <w:tcPr>
            <w:tcW w:type="dxa" w:w="3912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-18.73%</w:t>
            </w:r>
          </w:p>
        </w:tc>
        <w:tc>
          <w:tcPr>
            <w:tcW w:type="dxa" w:w="3912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-36.87%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2019</w:t>
            </w:r>
          </w:p>
        </w:tc>
        <w:tc>
          <w:tcPr>
            <w:tcW w:type="dxa" w:w="3912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30.54%</w:t>
            </w:r>
          </w:p>
        </w:tc>
        <w:tc>
          <w:tcPr>
            <w:tcW w:type="dxa" w:w="3912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25.67%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2020</w:t>
            </w:r>
          </w:p>
        </w:tc>
        <w:tc>
          <w:tcPr>
            <w:tcW w:type="dxa" w:w="3912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0.99%</w:t>
            </w:r>
          </w:p>
        </w:tc>
        <w:tc>
          <w:tcPr>
            <w:tcW w:type="dxa" w:w="3912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19.39%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2021</w:t>
            </w:r>
          </w:p>
        </w:tc>
        <w:tc>
          <w:tcPr>
            <w:tcW w:type="dxa" w:w="3912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36.59%</w:t>
            </w:r>
          </w:p>
        </w:tc>
        <w:tc>
          <w:tcPr>
            <w:tcW w:type="dxa" w:w="3912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20.52%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2022</w:t>
            </w:r>
          </w:p>
        </w:tc>
        <w:tc>
          <w:tcPr>
            <w:tcW w:type="dxa" w:w="3912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32.20%</w:t>
            </w:r>
          </w:p>
        </w:tc>
        <w:tc>
          <w:tcPr>
            <w:tcW w:type="dxa" w:w="3912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-21.58%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3912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33.21%</w:t>
            </w:r>
          </w:p>
        </w:tc>
        <w:tc>
          <w:tcPr>
            <w:tcW w:type="dxa" w:w="3912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-6.28%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3912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1.05%</w:t>
            </w:r>
          </w:p>
        </w:tc>
        <w:tc>
          <w:tcPr>
            <w:tcW w:type="dxa" w:w="3912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1.20%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3912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50.74%</w:t>
            </w:r>
          </w:p>
        </w:tc>
        <w:tc>
          <w:tcPr>
            <w:tcW w:type="dxa" w:w="3912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27.49%</w:t>
            </w:r>
          </w:p>
        </w:tc>
      </w:tr>
    </w:tbl>
    <w:p>
      <w:pPr>
        <w:spacing w:line="60" w:lineRule="exact" w:after="0"/>
      </w:pPr>
    </w:p>
    <w:p>
      <w:pPr>
        <w:spacing w:line="280" w:lineRule="exact" w:after="80"/>
      </w:pPr>
      <w:r>
        <w:rPr>
          <w:rFonts w:eastAsia="Songti SC"/>
          <w:sz w:val="20"/>
        </w:rPr>
        <w:t>2015年的对数收益占2015—2023年累计对数收益的50.9%。不含2015年时，2016—2023年年化收益为12.11%，低于原样本内22.99%；2016—2025年为14.28%。这是不同子时期的描述比较，不是删除不利或有利年份后的新策略。</w:t>
      </w:r>
    </w:p>
    <w:p>
      <w:pPr>
        <w:spacing w:line="280" w:lineRule="exact" w:after="80"/>
      </w:pPr>
      <w:r>
        <w:rPr>
          <w:rFonts w:eastAsia="Songti SC"/>
          <w:sz w:val="20"/>
        </w:rPr>
        <w:t>表12  最强月份对复利结果的影响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1928"/>
        <w:gridCol w:w="2891"/>
        <w:gridCol w:w="2948"/>
      </w:tblGrid>
      <w:tr>
        <w:trPr>
          <w:cantSplit/>
          <w:tblHeader/>
        </w:trPr>
        <w:tc>
          <w:tcPr>
            <w:tcW w:type="dxa" w:w="1757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/>
                <w:sz w:val="18"/>
              </w:rPr>
              <w:t>期间</w:t>
            </w:r>
          </w:p>
        </w:tc>
        <w:tc>
          <w:tcPr>
            <w:tcW w:type="dxa" w:w="1928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原年化收益</w:t>
            </w:r>
          </w:p>
        </w:tc>
        <w:tc>
          <w:tcPr>
            <w:tcW w:type="dxa" w:w="2891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最强5月对数贡献占比</w:t>
            </w:r>
          </w:p>
        </w:tc>
        <w:tc>
          <w:tcPr>
            <w:tcW w:type="dxa" w:w="2948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这5月收益置零后年化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2015—2023</w:t>
            </w:r>
          </w:p>
        </w:tc>
        <w:tc>
          <w:tcPr>
            <w:tcW w:type="dxa" w:w="1928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22.99%</w:t>
            </w:r>
          </w:p>
        </w:tc>
        <w:tc>
          <w:tcPr>
            <w:tcW w:type="dxa" w:w="289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53.49%</w:t>
            </w:r>
          </w:p>
        </w:tc>
        <w:tc>
          <w:tcPr>
            <w:tcW w:type="dxa" w:w="2948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10.10%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2024—2025</w:t>
            </w:r>
          </w:p>
        </w:tc>
        <w:tc>
          <w:tcPr>
            <w:tcW w:type="dxa" w:w="1928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23.42%</w:t>
            </w:r>
          </w:p>
        </w:tc>
        <w:tc>
          <w:tcPr>
            <w:tcW w:type="dxa" w:w="289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170.24%</w:t>
            </w:r>
          </w:p>
        </w:tc>
        <w:tc>
          <w:tcPr>
            <w:tcW w:type="dxa" w:w="2948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-13.74%</w:t>
            </w:r>
          </w:p>
        </w:tc>
      </w:tr>
    </w:tbl>
    <w:p>
      <w:pPr>
        <w:spacing w:line="60" w:lineRule="exact" w:after="0"/>
      </w:pPr>
    </w:p>
    <w:p>
      <w:pPr>
        <w:spacing w:line="280" w:lineRule="exact" w:after="80"/>
      </w:pPr>
      <w:r>
        <w:rPr>
          <w:rFonts w:eastAsia="Songti SC"/>
          <w:sz w:val="20"/>
        </w:rPr>
        <w:t>按已实现月对数收益排序，将最强5个月收益替换为0，保留原月份总数，其余月份不变。该事后诊断不能交易，也不是对未来错失月份的预测。2024—2025年贡献占比超过100%，表示这些上涨月份的贡献被其他月份的净损失部分抵消；随意减仓可能错过决定复利结果的反弹。</w:t>
      </w:r>
    </w:p>
    <w:p>
      <w:pPr>
        <w:pStyle w:val="Heading1"/>
        <w:pageBreakBefore/>
        <w:spacing w:line="480" w:lineRule="exact"/>
      </w:pPr>
      <w:r>
        <w:rPr>
          <w:rFonts w:eastAsia="Songti SC"/>
          <w:color w:val="000000"/>
        </w:rPr>
        <w:t>10  市场环境与策略适用性</w:t>
      </w:r>
    </w:p>
    <w:p>
      <w:pPr>
        <w:spacing w:line="280" w:lineRule="exact" w:after="80"/>
      </w:pPr>
      <w:r>
        <w:rPr>
          <w:rFonts w:eastAsia="Songti SC"/>
          <w:sz w:val="20"/>
        </w:rPr>
        <w:t>市场环境分为中证1000当月上涨与不涨；风格环境分为中证1000当月收益高于沪深300与不高于沪深300。两项分别分组，不交叉细分，不调整原持仓。风格数据来自已有本地冻结行情，可计算月收益的期间为2020—2025年；不补造早期指数历史。</w:t>
      </w:r>
    </w:p>
    <w:p>
      <w:pPr>
        <w:pStyle w:val="Heading2"/>
        <w:spacing w:line="360" w:lineRule="exact"/>
      </w:pPr>
      <w:r>
        <w:rPr>
          <w:rFonts w:eastAsia="Songti SC"/>
          <w:color w:val="000000"/>
        </w:rPr>
        <w:t>当月环境解释收益差异</w:t>
      </w:r>
    </w:p>
    <w:p>
      <w:pPr>
        <w:spacing w:line="280" w:lineRule="exact" w:after="80"/>
      </w:pPr>
      <w:r>
        <w:rPr>
          <w:rFonts w:eastAsia="Songti SC"/>
          <w:sz w:val="20"/>
        </w:rPr>
        <w:t>表13  按当月环境分类的原策略表现 2024—2025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737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2665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/>
                <w:sz w:val="18"/>
              </w:rPr>
              <w:t>当月环境</w:t>
            </w:r>
          </w:p>
        </w:tc>
        <w:tc>
          <w:tcPr>
            <w:tcW w:type="dxa" w:w="737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月数</w:t>
            </w:r>
          </w:p>
        </w:tc>
        <w:tc>
          <w:tcPr>
            <w:tcW w:type="dxa" w:w="2041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平均月收益</w:t>
            </w:r>
          </w:p>
        </w:tc>
        <w:tc>
          <w:tcPr>
            <w:tcW w:type="dxa" w:w="2041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盈利月份比例</w:t>
            </w:r>
          </w:p>
        </w:tc>
        <w:tc>
          <w:tcPr>
            <w:tcW w:type="dxa" w:w="2041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亏损至少10%比例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市场上涨</w:t>
            </w:r>
          </w:p>
        </w:tc>
        <w:tc>
          <w:tcPr>
            <w:tcW w:type="dxa" w:w="737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04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6.46%</w:t>
            </w:r>
          </w:p>
        </w:tc>
        <w:tc>
          <w:tcPr>
            <w:tcW w:type="dxa" w:w="204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76.92%</w:t>
            </w:r>
          </w:p>
        </w:tc>
        <w:tc>
          <w:tcPr>
            <w:tcW w:type="dxa" w:w="204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7.69%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市场不涨</w:t>
            </w:r>
          </w:p>
        </w:tc>
        <w:tc>
          <w:tcPr>
            <w:tcW w:type="dxa" w:w="737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04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-2.77%</w:t>
            </w:r>
          </w:p>
        </w:tc>
        <w:tc>
          <w:tcPr>
            <w:tcW w:type="dxa" w:w="204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45.45%</w:t>
            </w:r>
          </w:p>
        </w:tc>
        <w:tc>
          <w:tcPr>
            <w:tcW w:type="dxa" w:w="204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27.27%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中证1000占优</w:t>
            </w:r>
          </w:p>
        </w:tc>
        <w:tc>
          <w:tcPr>
            <w:tcW w:type="dxa" w:w="737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04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7.09%</w:t>
            </w:r>
          </w:p>
        </w:tc>
        <w:tc>
          <w:tcPr>
            <w:tcW w:type="dxa" w:w="204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84.62%</w:t>
            </w:r>
          </w:p>
        </w:tc>
        <w:tc>
          <w:tcPr>
            <w:tcW w:type="dxa" w:w="204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沪深300不落后</w:t>
            </w:r>
          </w:p>
        </w:tc>
        <w:tc>
          <w:tcPr>
            <w:tcW w:type="dxa" w:w="737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04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-3.51%</w:t>
            </w:r>
          </w:p>
        </w:tc>
        <w:tc>
          <w:tcPr>
            <w:tcW w:type="dxa" w:w="204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36.36%</w:t>
            </w:r>
          </w:p>
        </w:tc>
        <w:tc>
          <w:tcPr>
            <w:tcW w:type="dxa" w:w="204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36.36%</w:t>
            </w:r>
          </w:p>
        </w:tc>
      </w:tr>
    </w:tbl>
    <w:p>
      <w:pPr>
        <w:spacing w:line="60" w:lineRule="exact" w:after="0"/>
      </w:pPr>
    </w:p>
    <w:p>
      <w:pPr>
        <w:spacing w:line="280" w:lineRule="exact" w:after="80"/>
      </w:pPr>
      <w:r>
        <w:rPr>
          <w:rFonts w:eastAsia="Songti SC"/>
          <w:sz w:val="20"/>
        </w:rPr>
        <w:t>中证1000占优的13个月，原策略平均月收益7.09%；其余11个月为−3.51%，4次亏损至少10%的月份均落在后者。市场下跌环境中，策略平均仍亏损2.77%，即使平均跑赢中证1000约1.71个百分点，也不意味着能保护本金。</w:t>
      </w:r>
    </w:p>
    <w:p>
      <w:pPr>
        <w:spacing w:line="280" w:lineRule="exact" w:after="80"/>
      </w:pPr>
      <w:r>
        <w:rPr>
          <w:rFonts w:eastAsia="Songti SC"/>
          <w:sz w:val="20"/>
        </w:rPr>
        <w:t>当月分类使用了当月结束后才完整知道的市场收益，仅作事后环境归因。股票组合为成本后复权收益，两项指数均为价格收益；这些比较不构成可交易净超额收益或因果解释。</w:t>
      </w:r>
    </w:p>
    <w:p>
      <w:pPr>
        <w:pStyle w:val="Heading2"/>
        <w:spacing w:line="360" w:lineRule="exact"/>
      </w:pPr>
      <w:r>
        <w:rPr>
          <w:rFonts w:eastAsia="Songti SC"/>
          <w:color w:val="000000"/>
        </w:rPr>
        <w:t>上月已知环境的区分能力明显减弱</w:t>
      </w:r>
    </w:p>
    <w:p>
      <w:pPr>
        <w:spacing w:line="280" w:lineRule="exact" w:after="80"/>
      </w:pPr>
      <w:r>
        <w:rPr>
          <w:rFonts w:eastAsia="Songti SC"/>
          <w:sz w:val="20"/>
        </w:rPr>
        <w:t>表14  按上月环境分类的下月原策略表现 2024—2025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737"/>
        <w:gridCol w:w="2041"/>
        <w:gridCol w:w="2041"/>
        <w:gridCol w:w="2041"/>
      </w:tblGrid>
      <w:tr>
        <w:trPr>
          <w:cantSplit/>
          <w:tblHeader/>
        </w:trPr>
        <w:tc>
          <w:tcPr>
            <w:tcW w:type="dxa" w:w="2665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/>
                <w:sz w:val="18"/>
              </w:rPr>
              <w:t>上月环境</w:t>
            </w:r>
          </w:p>
        </w:tc>
        <w:tc>
          <w:tcPr>
            <w:tcW w:type="dxa" w:w="737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月数</w:t>
            </w:r>
          </w:p>
        </w:tc>
        <w:tc>
          <w:tcPr>
            <w:tcW w:type="dxa" w:w="2041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下月平均收益</w:t>
            </w:r>
          </w:p>
        </w:tc>
        <w:tc>
          <w:tcPr>
            <w:tcW w:type="dxa" w:w="2041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下月盈利比例</w:t>
            </w:r>
          </w:p>
        </w:tc>
        <w:tc>
          <w:tcPr>
            <w:tcW w:type="dxa" w:w="2041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下月亏损至少10%比例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市场上涨</w:t>
            </w:r>
          </w:p>
        </w:tc>
        <w:tc>
          <w:tcPr>
            <w:tcW w:type="dxa" w:w="737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04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3.64%</w:t>
            </w:r>
          </w:p>
        </w:tc>
        <w:tc>
          <w:tcPr>
            <w:tcW w:type="dxa" w:w="204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66.67%</w:t>
            </w:r>
          </w:p>
        </w:tc>
        <w:tc>
          <w:tcPr>
            <w:tcW w:type="dxa" w:w="204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16.67%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市场不涨</w:t>
            </w:r>
          </w:p>
        </w:tc>
        <w:tc>
          <w:tcPr>
            <w:tcW w:type="dxa" w:w="737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04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0.81%</w:t>
            </w:r>
          </w:p>
        </w:tc>
        <w:tc>
          <w:tcPr>
            <w:tcW w:type="dxa" w:w="204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58.33%</w:t>
            </w:r>
          </w:p>
        </w:tc>
        <w:tc>
          <w:tcPr>
            <w:tcW w:type="dxa" w:w="204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16.67%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中证1000占优</w:t>
            </w:r>
          </w:p>
        </w:tc>
        <w:tc>
          <w:tcPr>
            <w:tcW w:type="dxa" w:w="737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04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3.37%</w:t>
            </w:r>
          </w:p>
        </w:tc>
        <w:tc>
          <w:tcPr>
            <w:tcW w:type="dxa" w:w="204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66.67%</w:t>
            </w:r>
          </w:p>
        </w:tc>
        <w:tc>
          <w:tcPr>
            <w:tcW w:type="dxa" w:w="2041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16.67%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沪深300不落后</w:t>
            </w:r>
          </w:p>
        </w:tc>
        <w:tc>
          <w:tcPr>
            <w:tcW w:type="dxa" w:w="737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04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1.08%</w:t>
            </w:r>
          </w:p>
        </w:tc>
        <w:tc>
          <w:tcPr>
            <w:tcW w:type="dxa" w:w="204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58.33%</w:t>
            </w:r>
          </w:p>
        </w:tc>
        <w:tc>
          <w:tcPr>
            <w:tcW w:type="dxa" w:w="2041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16.67%</w:t>
            </w:r>
          </w:p>
        </w:tc>
      </w:tr>
    </w:tbl>
    <w:p>
      <w:pPr>
        <w:spacing w:line="60" w:lineRule="exact" w:after="0"/>
      </w:pPr>
    </w:p>
    <w:p>
      <w:pPr>
        <w:spacing w:line="280" w:lineRule="exact" w:after="80"/>
      </w:pPr>
      <w:r>
        <w:rPr>
          <w:rFonts w:eastAsia="Songti SC"/>
          <w:sz w:val="20"/>
        </w:rPr>
        <w:t>将环境整体滞后一个月后，大小盘风格两组下月平均收益为3.37%和1.08%，但两组各12个月，均有2次大幅亏损，亏损至少10%的比例同为16.67%。市场涨跌分组的尾部亏损比例也相同。因此，当月环境的强相关不能直接转化为下一月的可靠风险预警。</w:t>
      </w:r>
    </w:p>
    <w:p>
      <w:pPr>
        <w:spacing w:line="280" w:lineRule="exact" w:after="80"/>
      </w:pPr>
      <w:r>
        <w:rPr>
          <w:rFonts w:eastAsia="Songti SC"/>
          <w:sz w:val="20"/>
        </w:rPr>
        <w:t>环境分组月份不连续，不计算拼接年化收益或回撤。完整分期统计和逐月标签保存在results/applicability；风格统计始于2020年。以上为描述分析，不改变赢家或仓位。</w:t>
      </w:r>
    </w:p>
    <w:p>
      <w:pPr>
        <w:pStyle w:val="Heading1"/>
        <w:pageBreakBefore/>
        <w:spacing w:line="480" w:lineRule="exact"/>
      </w:pPr>
      <w:r>
        <w:rPr>
          <w:rFonts w:eastAsia="Songti SC"/>
          <w:color w:val="000000"/>
        </w:rPr>
        <w:t>11  交易约束决定研究收益的实现程度</w:t>
      </w:r>
    </w:p>
    <w:p>
      <w:pPr>
        <w:spacing w:line="280" w:lineRule="exact" w:after="80"/>
      </w:pPr>
      <w:r>
        <w:rPr>
          <w:rFonts w:eastAsia="Songti SC"/>
        </w:rPr>
        <w:t>交易适用性包括成本承受、风险退出、资金分散和市场容量。本节汇总第4及第7—8节的既有实验；第12—14节进一步比较同现金起点的成交容量和增量冲击压力。</w:t>
      </w:r>
    </w:p>
    <w:p>
      <w:pPr>
        <w:spacing w:line="280" w:lineRule="exact" w:after="80"/>
      </w:pPr>
      <w:r>
        <w:rPr>
          <w:rFonts w:eastAsia="Songti SC"/>
          <w:sz w:val="20"/>
        </w:rPr>
        <w:t>表15  成本变化与日度风险 2024—2025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rPr>
          <w:cantSplit/>
          <w:tblHeader/>
        </w:trPr>
        <w:tc>
          <w:tcPr>
            <w:tcW w:type="dxa" w:w="3175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/>
                <w:sz w:val="18"/>
              </w:rPr>
              <w:t>单边综合成本</w:t>
            </w:r>
          </w:p>
        </w:tc>
        <w:tc>
          <w:tcPr>
            <w:tcW w:type="dxa" w:w="3175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type="dxa" w:w="3175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日度最大回撤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10bp</w:t>
            </w:r>
          </w:p>
        </w:tc>
        <w:tc>
          <w:tcPr>
            <w:tcW w:type="dxa" w:w="3175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24.56%</w:t>
            </w:r>
          </w:p>
        </w:tc>
        <w:tc>
          <w:tcPr>
            <w:tcW w:type="dxa" w:w="3175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-45.09%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30bp</w:t>
            </w:r>
          </w:p>
        </w:tc>
        <w:tc>
          <w:tcPr>
            <w:tcW w:type="dxa" w:w="3175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23.42%</w:t>
            </w:r>
          </w:p>
        </w:tc>
        <w:tc>
          <w:tcPr>
            <w:tcW w:type="dxa" w:w="3175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-45.16%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50bp</w:t>
            </w:r>
          </w:p>
        </w:tc>
        <w:tc>
          <w:tcPr>
            <w:tcW w:type="dxa" w:w="3175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22.30%</w:t>
            </w:r>
          </w:p>
        </w:tc>
        <w:tc>
          <w:tcPr>
            <w:tcW w:type="dxa" w:w="3175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-45.23%</w:t>
            </w:r>
          </w:p>
        </w:tc>
      </w:tr>
    </w:tbl>
    <w:p>
      <w:pPr>
        <w:spacing w:line="60" w:lineRule="exact" w:after="0"/>
      </w:pPr>
    </w:p>
    <w:p>
      <w:pPr>
        <w:spacing w:line="280" w:lineRule="exact" w:after="80"/>
      </w:pPr>
      <w:r>
        <w:rPr>
          <w:rFonts w:eastAsia="Songti SC"/>
          <w:sz w:val="20"/>
        </w:rPr>
        <w:t>从10bp提高到50bp，年化收益由24.56%降至22.30%，但最大回撤幅度仍在45%左右。成本改变收益水平和组间排序，无法解释或消除主要尾部风险；该区间不包含基于盘口和成交参与率估计的动态冲击成本。</w:t>
      </w:r>
    </w:p>
    <w:p>
      <w:pPr>
        <w:pStyle w:val="Heading2"/>
        <w:spacing w:line="360" w:lineRule="exact"/>
      </w:pPr>
      <w:r>
        <w:rPr>
          <w:rFonts w:eastAsia="Songti SC"/>
          <w:color w:val="000000"/>
        </w:rPr>
        <w:t>退出规则的适用条件是能够成交</w:t>
      </w:r>
    </w:p>
    <w:p>
      <w:pPr>
        <w:spacing w:line="280" w:lineRule="exact" w:after="80"/>
      </w:pPr>
      <w:r>
        <w:rPr>
          <w:rFonts w:eastAsia="Songti SC"/>
          <w:sz w:val="20"/>
        </w:rPr>
        <w:t>原策略全样本128次风险退出成交中，97次发生延迟，约75.8%。最长已列示案例延迟166个交易日。策略必须能承担风险被识别后仍无法卖出的价格损失；设置ST退出规则不等于已经获得及时止损保护。停牌估值沿用末次价格还可能推迟账面风险显现。</w:t>
      </w:r>
    </w:p>
    <w:p>
      <w:pPr>
        <w:spacing w:line="280" w:lineRule="exact" w:after="80"/>
      </w:pPr>
      <w:r>
        <w:rPr>
          <w:rFonts w:eastAsia="Songti SC"/>
          <w:sz w:val="20"/>
        </w:rPr>
        <w:t>表16  同起点资金实验的实现偏差 2024—2025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2438"/>
        <w:gridCol w:w="2438"/>
        <w:gridCol w:w="2494"/>
      </w:tblGrid>
      <w:tr>
        <w:trPr>
          <w:cantSplit/>
          <w:tblHeader/>
        </w:trPr>
        <w:tc>
          <w:tcPr>
            <w:tcW w:type="dxa" w:w="2154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/>
                <w:sz w:val="18"/>
              </w:rPr>
              <w:t>期初资金</w:t>
            </w:r>
          </w:p>
        </w:tc>
        <w:tc>
          <w:tcPr>
            <w:tcW w:type="dxa" w:w="2438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type="dxa" w:w="2438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平均现金比例</w:t>
            </w:r>
          </w:p>
        </w:tc>
        <w:tc>
          <w:tcPr>
            <w:tcW w:type="dxa" w:w="2494"/>
            <w:vAlign w:val="center"/>
            <w:shd w:fill="E7EBEE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/>
                <w:sz w:val="18"/>
              </w:rPr>
              <w:t>日度最大回撤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10万元</w:t>
            </w:r>
          </w:p>
        </w:tc>
        <w:tc>
          <w:tcPr>
            <w:tcW w:type="dxa" w:w="2438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17.17%</w:t>
            </w:r>
          </w:p>
        </w:tc>
        <w:tc>
          <w:tcPr>
            <w:tcW w:type="dxa" w:w="2438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45.58%</w:t>
            </w:r>
          </w:p>
        </w:tc>
        <w:tc>
          <w:tcPr>
            <w:tcW w:type="dxa" w:w="2494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-22.35%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100万元</w:t>
            </w:r>
          </w:p>
        </w:tc>
        <w:tc>
          <w:tcPr>
            <w:tcW w:type="dxa" w:w="2438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22.00%</w:t>
            </w:r>
          </w:p>
        </w:tc>
        <w:tc>
          <w:tcPr>
            <w:tcW w:type="dxa" w:w="2438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5.04%</w:t>
            </w:r>
          </w:p>
        </w:tc>
        <w:tc>
          <w:tcPr>
            <w:tcW w:type="dxa" w:w="2494"/>
            <w:vAlign w:val="center"/>
            <w:shd w:fill="F5F7F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-43.34%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left"/>
            </w:pPr>
            <w:r>
              <w:rPr>
                <w:b w:val="0"/>
                <w:sz w:val="18"/>
              </w:rPr>
              <w:t>200万元</w:t>
            </w:r>
          </w:p>
        </w:tc>
        <w:tc>
          <w:tcPr>
            <w:tcW w:type="dxa" w:w="2438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22.22%</w:t>
            </w:r>
          </w:p>
        </w:tc>
        <w:tc>
          <w:tcPr>
            <w:tcW w:type="dxa" w:w="2438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2.92%</w:t>
            </w:r>
          </w:p>
        </w:tc>
        <w:tc>
          <w:tcPr>
            <w:tcW w:type="dxa" w:w="2494"/>
            <w:vAlign w:val="center"/>
            <w:shd w:fill="FFFFFF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20" w:before="20" w:line="260" w:lineRule="exact"/>
              <w:jc w:val="center"/>
            </w:pPr>
            <w:r>
              <w:rPr>
                <w:b w:val="0"/>
                <w:sz w:val="18"/>
              </w:rPr>
              <w:t>-44.59%</w:t>
            </w:r>
          </w:p>
        </w:tc>
      </w:tr>
    </w:tbl>
    <w:p>
      <w:pPr>
        <w:spacing w:line="60" w:lineRule="exact" w:after="0"/>
      </w:pPr>
    </w:p>
    <w:p>
      <w:pPr>
        <w:spacing w:line="280" w:lineRule="exact" w:after="80"/>
      </w:pPr>
      <w:r>
        <w:rPr>
          <w:rFonts w:eastAsia="Songti SC"/>
          <w:sz w:val="20"/>
        </w:rPr>
        <w:t>本表均从2024年初现金建仓，执行整手及最低佣金；同起点连续份额对照年化22.88%，平均现金1.22%。10万元情景现金闲置45.58%，较小回撤主要伴随风险暴露降低。100万元时现金约5.04%，年化收益较同起点对照低0.89个百分点；不能与承接旧持仓的23.42%直接相减。</w:t>
      </w:r>
    </w:p>
    <w:p>
      <w:pPr>
        <w:pStyle w:val="Heading2"/>
        <w:spacing w:line="360" w:lineRule="exact"/>
      </w:pPr>
      <w:r>
        <w:rPr>
          <w:rFonts w:eastAsia="Songti SC"/>
          <w:color w:val="000000"/>
        </w:rPr>
        <w:t>可陈述的适用边界</w:t>
      </w:r>
    </w:p>
    <w:p>
      <w:pPr>
        <w:spacing w:line="280" w:lineRule="exact" w:after="80"/>
      </w:pPr>
      <w:r>
        <w:rPr>
          <w:rFonts w:eastAsia="Songti SC"/>
        </w:rPr>
        <w:t>本策略是高分散并承担较大权益回撤的小市值研究组合。有限资金下，100只目标的整手及费用约束会改变实际暴露。资金增加可以减少整手闲置，却可能增加成交容量压力。第12—14节按固定日频上限和增量冲击假设检验这一权衡；缺少分钟队列与实测校准，仍不给出认证的实盘资金上限。</w:t>
      </w:r>
    </w:p>
    <w:p>
      <w:pPr>
        <w:spacing w:line="280" w:lineRule="exact" w:after="80"/>
      </w:pPr>
      <w:r>
        <w:rPr>
          <w:rFonts w:eastAsia="Songti SC"/>
          <w:sz w:val="20"/>
        </w:rPr>
        <w:t>收益集中度说明错过少数上涨月代价较高；环境分析说明相对领先与绝对盈利不同；执行实验说明研究净值与实际账户仍有距离。这三项适用性结论共同限定项目的使用范围，不据此产生新的交易信号。</w:t>
      </w:r>
    </w:p>
    <w:p>
      <w:pPr>
        <w:pStyle w:val="Heading1"/>
        <w:pageBreakBefore/>
        <w:spacing w:line="480" w:lineRule="exact"/>
      </w:pPr>
      <w:r>
        <w:rPr>
          <w:rFonts w:eastAsia="Songti SC"/>
          <w:color w:val="000000"/>
        </w:rPr>
        <w:t>12  成交容量与增量冲击的固定检验</w:t>
      </w:r>
    </w:p>
    <w:p>
      <w:pPr>
        <w:spacing w:after="80" w:line="280" w:lineRule="exact"/>
      </w:pPr>
      <w:r>
        <w:rPr>
          <w:rFonts w:ascii="Arial" w:hAnsi="Arial" w:eastAsia="Songti SC"/>
          <w:b w:val="0"/>
          <w:color w:val="000000"/>
          <w:sz w:val="20"/>
        </w:rPr>
        <w:t>本次固定1—100名赢家，增加8档资金、8种执行场景，并分别重跑2015—2023与2024—2025，共128格。两段均从现金开始，此后不追加或抽走资金。协议在场景结果评估前固定；2024—2025仍是已查看的历史留出，不是新的独立验证。</w:t>
      </w:r>
    </w:p>
    <w:p>
      <w:pPr>
        <w:keepNext/>
        <w:spacing w:after="80" w:line="280" w:lineRule="exact"/>
      </w:pPr>
      <w:r>
        <w:rPr>
          <w:rFonts w:ascii="Arial" w:hAnsi="Arial" w:eastAsia="Songti SC"/>
          <w:b/>
          <w:color w:val="000000"/>
          <w:sz w:val="20"/>
        </w:rPr>
        <w:t>表17  预先固定的执行场景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2041"/>
        <w:gridCol w:w="2041"/>
        <w:gridCol w:w="1814"/>
      </w:tblGrid>
      <w:tr>
        <w:trPr>
          <w:cantSplit/>
          <w:tblHeader/>
        </w:trPr>
        <w:tc>
          <w:tcPr>
            <w:tcW w:type="dxa" w:w="3628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/>
                <w:sz w:val="18"/>
              </w:rPr>
              <w:t>场景</w:t>
            </w:r>
          </w:p>
        </w:tc>
        <w:tc>
          <w:tcPr>
            <w:tcW w:type="dxa" w:w="2041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成交参照</w:t>
            </w:r>
          </w:p>
        </w:tc>
        <w:tc>
          <w:tcPr>
            <w:tcW w:type="dxa" w:w="2041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日参与率上限</w:t>
            </w:r>
          </w:p>
        </w:tc>
        <w:tc>
          <w:tcPr>
            <w:tcW w:type="dxa" w:w="1814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增量冲击η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OPEN_BASE 原开盘基准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次日开盘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VWAP_BASE 价格参照</w:t>
            </w:r>
          </w:p>
        </w:tc>
        <w:tc>
          <w:tcPr>
            <w:tcW w:type="dxa" w:w="204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日VWAP近似</w:t>
            </w:r>
          </w:p>
        </w:tc>
        <w:tc>
          <w:tcPr>
            <w:tcW w:type="dxa" w:w="204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CAP_1P 容量对照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日VWAP近似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1%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CAP_1P_SIGMA 覆盖对照</w:t>
            </w:r>
          </w:p>
        </w:tc>
        <w:tc>
          <w:tcPr>
            <w:tcW w:type="dxa" w:w="204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日VWAP近似</w:t>
            </w:r>
          </w:p>
        </w:tc>
        <w:tc>
          <w:tcPr>
            <w:tcW w:type="dxa" w:w="204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1%</w:t>
            </w:r>
          </w:p>
        </w:tc>
        <w:tc>
          <w:tcPr>
            <w:tcW w:type="dxa" w:w="1814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MAIN_1P 主压力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日VWAP近似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1%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TIGHT_0P5 更紧容量</w:t>
            </w:r>
          </w:p>
        </w:tc>
        <w:tc>
          <w:tcPr>
            <w:tcW w:type="dxa" w:w="204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日VWAP近似</w:t>
            </w:r>
          </w:p>
        </w:tc>
        <w:tc>
          <w:tcPr>
            <w:tcW w:type="dxa" w:w="204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0.5%</w:t>
            </w:r>
          </w:p>
        </w:tc>
        <w:tc>
          <w:tcPr>
            <w:tcW w:type="dxa" w:w="1814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LOOSE_5P 更宽容量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日VWAP近似</w:t>
            </w:r>
          </w:p>
        </w:tc>
        <w:tc>
          <w:tcPr>
            <w:tcW w:type="dxa" w:w="204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5%</w:t>
            </w:r>
          </w:p>
        </w:tc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IMPACT_HIGH_1P 更高冲击</w:t>
            </w:r>
          </w:p>
        </w:tc>
        <w:tc>
          <w:tcPr>
            <w:tcW w:type="dxa" w:w="204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日VWAP近似</w:t>
            </w:r>
          </w:p>
        </w:tc>
        <w:tc>
          <w:tcPr>
            <w:tcW w:type="dxa" w:w="204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1%</w:t>
            </w:r>
          </w:p>
        </w:tc>
        <w:tc>
          <w:tcPr>
            <w:tcW w:type="dxa" w:w="1814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1.0</w:t>
            </w:r>
          </w:p>
        </w:tc>
      </w:tr>
    </w:tbl>
    <w:p>
      <w:pPr>
        <w:spacing w:after="0" w:line="60" w:lineRule="exact"/>
      </w:pPr>
    </w:p>
    <w:p>
      <w:pPr>
        <w:spacing w:after="80" w:line="260" w:lineRule="exact"/>
      </w:pPr>
      <w:r>
        <w:rPr>
          <w:rFonts w:ascii="Arial" w:hAnsi="Arial" w:eastAsia="Songti SC"/>
          <w:b w:val="0"/>
          <w:color w:val="000000"/>
          <w:sz w:val="18"/>
        </w:rPr>
        <w:t>所有场景保留100股整手和最低5元佣金。CAP_1P_SIGMA与主压力场景要求同样的已知σ，但不收增量冲击，用于把σ缺失覆盖变化与冲击路径分开。该对照在输入覆盖核验后、场景结果评估前加入。</w:t>
      </w:r>
    </w:p>
    <w:p>
      <w:pPr>
        <w:pStyle w:val="Heading2"/>
        <w:spacing w:after="80" w:line="360" w:lineRule="exact"/>
      </w:pPr>
      <w:r>
        <w:rPr>
          <w:rFonts w:ascii="Arial" w:hAnsi="Arial" w:eastAsia="Songti SC"/>
          <w:b/>
          <w:color w:val="000000"/>
          <w:sz w:val="24"/>
        </w:rPr>
        <w:t>只把当日数据用于成交结果</w:t>
      </w:r>
    </w:p>
    <w:p>
      <w:pPr>
        <w:spacing w:after="80" w:line="280" w:lineRule="exact"/>
      </w:pPr>
      <w:r>
        <w:rPr>
          <w:rFonts w:ascii="Arial" w:hAnsi="Arial" w:eastAsia="Songti SC"/>
          <w:b w:val="0"/>
          <w:color w:val="000000"/>
          <w:sz w:val="20"/>
        </w:rPr>
        <w:t>选股、目标与预算使用事前信息。ADV是前20个交易日成交额均值，σ是前20个交易日复权日收益的样本标准差，均滞后一日且要求20个已知观察。当日金额与成交量换算的全天VWAP仅作成交参照，并核对最高最低价；保留原开盘可交易条件，再增加日内停牌、数据有效性和一字板筛选。因此VWAP与开盘基准之差同时包含价格和资格变化。</w:t>
      </w:r>
    </w:p>
    <w:p>
      <w:pPr>
        <w:spacing w:after="80" w:line="280" w:lineRule="exact"/>
      </w:pPr>
      <w:r>
        <w:rPr>
          <w:rFonts w:ascii="Arial" w:hAnsi="Arial" w:eastAsia="Songti SC"/>
          <w:b w:val="0"/>
          <w:color w:val="000000"/>
          <w:sz w:val="20"/>
        </w:rPr>
        <w:t>同一股票同一天的买卖共同使用金额上限min（p×滞后ADV，p×当日成交额），而非每笔独享容量。仅有证据的全天停牌可以令成交额记0；未知值保留未知并阻单。</w:t>
      </w:r>
    </w:p>
    <w:p>
      <w:pPr>
        <w:pStyle w:val="Heading2"/>
        <w:spacing w:after="80" w:line="360" w:lineRule="exact"/>
      </w:pPr>
      <w:r>
        <w:rPr>
          <w:rFonts w:ascii="Arial" w:hAnsi="Arial" w:eastAsia="Songti SC"/>
          <w:b/>
          <w:color w:val="000000"/>
          <w:sz w:val="24"/>
        </w:rPr>
        <w:t>费用 预算与部分成交</w:t>
      </w:r>
    </w:p>
    <w:p>
      <w:pPr>
        <w:spacing w:after="80" w:line="312" w:lineRule="auto"/>
        <w:jc w:val="center"/>
      </w:pPr>
      <m:oMath>
        <m:r>
          <m:t>C(Q) = η × σ × Q × </m:t>
        </m:r>
        <m:rad>
          <m:radPr>
            <m:degHide m:val="1"/>
          </m:radPr>
          <m:deg/>
          <m:e>
            <m:f>
              <m:num>
                <m:r>
                  <m:t>Q</m:t>
                </m:r>
              </m:num>
              <m:den>
                <m:r>
                  <m:t>ADV</m:t>
                </m:r>
              </m:den>
            </m:f>
          </m:e>
        </m:rad>
      </m:oMath>
    </w:p>
    <w:p>
      <w:pPr>
        <w:spacing w:after="80" w:line="280" w:lineRule="exact"/>
      </w:pPr>
      <w:r>
        <w:rPr>
          <w:rFonts w:ascii="Arial" w:hAnsi="Arial" w:eastAsia="Songti SC"/>
          <w:b w:val="0"/>
          <w:color w:val="000000"/>
          <w:sz w:val="20"/>
        </w:rPr>
        <w:t>Q为同股同日累计成交金额，每笔只收C（成交后Q）减C（成交前Q）。基础费用为27.5bp其他成本加2.5bp佣金，佣金每笔最低5元；冲击在此之外另计，不再改价重复收费。η为未校准的压力参数，不是实际冲击成本估计。</w:t>
      </w:r>
    </w:p>
    <w:p>
      <w:pPr>
        <w:spacing w:after="80" w:line="280" w:lineRule="exact"/>
      </w:pPr>
      <w:r>
        <w:rPr>
          <w:rFonts w:ascii="Arial" w:hAnsi="Arial" w:eastAsia="Songti SC"/>
          <w:b w:val="0"/>
          <w:color w:val="000000"/>
          <w:sz w:val="20"/>
        </w:rPr>
        <w:t>买入按已知涨停价及保守冲击预算安排，仅用前收盘现金；当日卖款不能资助当日买单。普通订单部分成交后继续尝试；ST剩余卖单及顺延补仓共用原风险事件的一个槽位，后续卖款与未完补仓保留，月末重新设定目标另记日志。</w:t>
      </w:r>
    </w:p>
    <w:p>
      <w:pPr>
        <w:pStyle w:val="Heading1"/>
        <w:pageBreakBefore/>
        <w:spacing w:line="480" w:lineRule="exact"/>
      </w:pPr>
      <w:r>
        <w:rPr>
          <w:rFonts w:eastAsia="Songti SC"/>
          <w:color w:val="000000"/>
        </w:rPr>
        <w:t>13  历史留出期的资金规模压力结果</w:t>
      </w:r>
    </w:p>
    <w:p>
      <w:pPr>
        <w:spacing w:after="80" w:line="280" w:lineRule="exact"/>
      </w:pPr>
      <w:r>
        <w:rPr>
          <w:rFonts w:ascii="Arial" w:hAnsi="Arial" w:eastAsia="Songti SC"/>
          <w:b w:val="0"/>
          <w:color w:val="000000"/>
          <w:sz w:val="20"/>
        </w:rPr>
        <w:t>表18使用相同现金起点逐档比较，基准本身也执行整手与最低佣金。这里的资金是期初投入额，账户随后复利；不能与原策略承接2023年持仓的23.42%年化直接相减。</w:t>
      </w:r>
    </w:p>
    <w:p>
      <w:pPr>
        <w:keepNext/>
        <w:spacing w:after="80" w:line="280" w:lineRule="exact"/>
      </w:pPr>
      <w:r>
        <w:rPr>
          <w:rFonts w:ascii="Arial" w:hAnsi="Arial" w:eastAsia="Songti SC"/>
          <w:b/>
          <w:color w:val="000000"/>
          <w:sz w:val="20"/>
        </w:rPr>
        <w:t>表18  开盘基准与主压力场景 2024—2025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1361"/>
        <w:gridCol w:w="1361"/>
        <w:gridCol w:w="850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361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/>
                <w:sz w:val="18"/>
              </w:rPr>
              <w:t>初始资金</w:t>
            </w:r>
          </w:p>
        </w:tc>
        <w:tc>
          <w:tcPr>
            <w:tcW w:type="dxa" w:w="1361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基准年化</w:t>
            </w:r>
          </w:p>
        </w:tc>
        <w:tc>
          <w:tcPr>
            <w:tcW w:type="dxa" w:w="1361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主压力</w:t>
              <w:br/>
              <w:t>年化</w:t>
            </w:r>
          </w:p>
        </w:tc>
        <w:tc>
          <w:tcPr>
            <w:tcW w:type="dxa" w:w="850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主压力</w:t>
              <w:br/>
              <w:t>夏普</w:t>
            </w:r>
          </w:p>
        </w:tc>
        <w:tc>
          <w:tcPr>
            <w:tcW w:type="dxa" w:w="1531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主压力</w:t>
              <w:br/>
              <w:t>日度回撤</w:t>
            </w:r>
          </w:p>
        </w:tc>
        <w:tc>
          <w:tcPr>
            <w:tcW w:type="dxa" w:w="1531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尝试金额</w:t>
              <w:br/>
              <w:t>完成率</w:t>
            </w:r>
          </w:p>
        </w:tc>
        <w:tc>
          <w:tcPr>
            <w:tcW w:type="dxa" w:w="1531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平均现金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10万元</w:t>
            </w:r>
          </w:p>
        </w:tc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17.17%</w:t>
            </w:r>
          </w:p>
        </w:tc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17.51%</w:t>
            </w:r>
          </w:p>
        </w:tc>
        <w:tc>
          <w:tcPr>
            <w:tcW w:type="dxa" w:w="850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0.92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-21.70%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80.95%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45.46%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30万元</w:t>
            </w:r>
          </w:p>
        </w:tc>
        <w:tc>
          <w:tcPr>
            <w:tcW w:type="dxa" w:w="136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21.35%</w:t>
            </w:r>
          </w:p>
        </w:tc>
        <w:tc>
          <w:tcPr>
            <w:tcW w:type="dxa" w:w="136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21.20%</w:t>
            </w:r>
          </w:p>
        </w:tc>
        <w:tc>
          <w:tcPr>
            <w:tcW w:type="dxa" w:w="850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0.80</w:t>
            </w:r>
          </w:p>
        </w:tc>
        <w:tc>
          <w:tcPr>
            <w:tcW w:type="dxa" w:w="153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-37.30%</w:t>
            </w:r>
          </w:p>
        </w:tc>
        <w:tc>
          <w:tcPr>
            <w:tcW w:type="dxa" w:w="153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84.00%</w:t>
            </w:r>
          </w:p>
        </w:tc>
        <w:tc>
          <w:tcPr>
            <w:tcW w:type="dxa" w:w="153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14.87%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100万元</w:t>
            </w:r>
          </w:p>
        </w:tc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22.00%</w:t>
            </w:r>
          </w:p>
        </w:tc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21.77%</w:t>
            </w:r>
          </w:p>
        </w:tc>
        <w:tc>
          <w:tcPr>
            <w:tcW w:type="dxa" w:w="850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0.76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-42.90%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85.82%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5.14%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200万元</w:t>
            </w:r>
          </w:p>
        </w:tc>
        <w:tc>
          <w:tcPr>
            <w:tcW w:type="dxa" w:w="136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22.22%</w:t>
            </w:r>
          </w:p>
        </w:tc>
        <w:tc>
          <w:tcPr>
            <w:tcW w:type="dxa" w:w="136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22.08%</w:t>
            </w:r>
          </w:p>
        </w:tc>
        <w:tc>
          <w:tcPr>
            <w:tcW w:type="dxa" w:w="850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0.76</w:t>
            </w:r>
          </w:p>
        </w:tc>
        <w:tc>
          <w:tcPr>
            <w:tcW w:type="dxa" w:w="153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-44.10%</w:t>
            </w:r>
          </w:p>
        </w:tc>
        <w:tc>
          <w:tcPr>
            <w:tcW w:type="dxa" w:w="153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86.40%</w:t>
            </w:r>
          </w:p>
        </w:tc>
        <w:tc>
          <w:tcPr>
            <w:tcW w:type="dxa" w:w="153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3.00%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500万元</w:t>
            </w:r>
          </w:p>
        </w:tc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22.47%</w:t>
            </w:r>
          </w:p>
        </w:tc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22.33%</w:t>
            </w:r>
          </w:p>
        </w:tc>
        <w:tc>
          <w:tcPr>
            <w:tcW w:type="dxa" w:w="850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0.76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-44.75%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87.01%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1.87%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1,000万元</w:t>
            </w:r>
          </w:p>
        </w:tc>
        <w:tc>
          <w:tcPr>
            <w:tcW w:type="dxa" w:w="136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22.60%</w:t>
            </w:r>
          </w:p>
        </w:tc>
        <w:tc>
          <w:tcPr>
            <w:tcW w:type="dxa" w:w="136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22.66%</w:t>
            </w:r>
          </w:p>
        </w:tc>
        <w:tc>
          <w:tcPr>
            <w:tcW w:type="dxa" w:w="850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0.76</w:t>
            </w:r>
          </w:p>
        </w:tc>
        <w:tc>
          <w:tcPr>
            <w:tcW w:type="dxa" w:w="153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-44.94%</w:t>
            </w:r>
          </w:p>
        </w:tc>
        <w:tc>
          <w:tcPr>
            <w:tcW w:type="dxa" w:w="153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87.28%</w:t>
            </w:r>
          </w:p>
        </w:tc>
        <w:tc>
          <w:tcPr>
            <w:tcW w:type="dxa" w:w="153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1.52%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3,000万元</w:t>
            </w:r>
          </w:p>
        </w:tc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22.76%</w:t>
            </w:r>
          </w:p>
        </w:tc>
        <w:tc>
          <w:tcPr>
            <w:tcW w:type="dxa" w:w="136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23.09%</w:t>
            </w:r>
          </w:p>
        </w:tc>
        <w:tc>
          <w:tcPr>
            <w:tcW w:type="dxa" w:w="850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0.77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-45.04%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84.90%</w:t>
            </w:r>
          </w:p>
        </w:tc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1.35%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5,000万元</w:t>
            </w:r>
          </w:p>
        </w:tc>
        <w:tc>
          <w:tcPr>
            <w:tcW w:type="dxa" w:w="136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22.81%</w:t>
            </w:r>
          </w:p>
        </w:tc>
        <w:tc>
          <w:tcPr>
            <w:tcW w:type="dxa" w:w="136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23.38%</w:t>
            </w:r>
          </w:p>
        </w:tc>
        <w:tc>
          <w:tcPr>
            <w:tcW w:type="dxa" w:w="850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0.78</w:t>
            </w:r>
          </w:p>
        </w:tc>
        <w:tc>
          <w:tcPr>
            <w:tcW w:type="dxa" w:w="153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-44.85%</w:t>
            </w:r>
          </w:p>
        </w:tc>
        <w:tc>
          <w:tcPr>
            <w:tcW w:type="dxa" w:w="153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77.93%</w:t>
            </w:r>
          </w:p>
        </w:tc>
        <w:tc>
          <w:tcPr>
            <w:tcW w:type="dxa" w:w="153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1.45%</w:t>
            </w:r>
          </w:p>
        </w:tc>
      </w:tr>
    </w:tbl>
    <w:p>
      <w:pPr>
        <w:spacing w:after="0" w:line="60" w:lineRule="exact"/>
      </w:pPr>
    </w:p>
    <w:p>
      <w:pPr>
        <w:spacing w:after="80" w:line="260" w:lineRule="exact"/>
      </w:pPr>
      <w:r>
        <w:rPr>
          <w:rFonts w:ascii="Arial" w:hAnsi="Arial" w:eastAsia="Songti SC"/>
          <w:b w:val="0"/>
          <w:color w:val="000000"/>
          <w:sz w:val="18"/>
        </w:rPr>
        <w:t>完成率＝各次实际成交份额×前收盘标记价格之和，除以计划份额×同一标记价格之和。次日重试再次进入分母；该指标衡量每日尝试金额完成程度，不是唯一母单最终成交率。</w:t>
      </w:r>
    </w:p>
    <w:p>
      <w:pPr>
        <w:keepNext/>
        <w:spacing w:after="80" w:line="280" w:lineRule="exact"/>
      </w:pPr>
      <w:r>
        <w:rPr>
          <w:rFonts w:ascii="Arial" w:hAnsi="Arial" w:eastAsia="Songti SC"/>
          <w:b/>
          <w:color w:val="000000"/>
          <w:sz w:val="20"/>
        </w:rPr>
        <w:t>图7  资金增加后的收益与尝试完成率</w:t>
      </w:r>
    </w:p>
    <w:p>
      <w:pPr>
        <w:keepNext/>
        <w:spacing w:after="80" w:line="240" w:lineRule="auto"/>
      </w:pPr>
      <w:r>
        <w:rPr>
          <w:rFonts w:eastAsia="Songti SC"/>
        </w:rPr>
        <w:drawing>
          <wp:inline xmlns:a="http://schemas.openxmlformats.org/drawingml/2006/main" xmlns:pic="http://schemas.openxmlformats.org/drawingml/2006/picture">
            <wp:extent cx="6012000" cy="21687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y_str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16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60" w:lineRule="exact"/>
      </w:pPr>
      <w:r>
        <w:rPr>
          <w:rFonts w:ascii="Arial" w:hAnsi="Arial" w:eastAsia="Songti SC"/>
          <w:b w:val="0"/>
          <w:color w:val="000000"/>
          <w:sz w:val="18"/>
        </w:rPr>
        <w:t>蓝线为1%主压力，深蓝为0.5%容量，浅蓝为5%容量，三者η均为0.5；灰虚线为原开盘基准。横轴为期初资金，对数刻度。未依据结果寻找最佳上限。</w:t>
      </w:r>
    </w:p>
    <w:p>
      <w:pPr>
        <w:spacing w:after="80" w:line="280" w:lineRule="exact"/>
      </w:pPr>
      <w:r>
        <w:rPr>
          <w:rFonts w:ascii="Arial" w:hAnsi="Arial" w:eastAsia="Songti SC"/>
          <w:b w:val="0"/>
          <w:color w:val="000000"/>
          <w:sz w:val="20"/>
        </w:rPr>
        <w:t>100万元主压力年化21.77%，较同资金开盘基准变动-0.22个百分点，尝试完成率85.82%；5000万元对应23.38%、+0.57个百分点和77.93%。这些是固定假设下的历史压力结果，不能认证实盘可承载资金。</w:t>
      </w:r>
    </w:p>
    <w:p>
      <w:pPr>
        <w:pStyle w:val="Heading1"/>
        <w:pageBreakBefore/>
        <w:spacing w:line="480" w:lineRule="exact"/>
      </w:pPr>
      <w:r>
        <w:rPr>
          <w:rFonts w:eastAsia="Songti SC"/>
          <w:color w:val="000000"/>
        </w:rPr>
        <w:t>14  差额来源 数据覆盖与未完成的退出</w:t>
      </w:r>
    </w:p>
    <w:p>
      <w:pPr>
        <w:keepNext/>
        <w:spacing w:after="80" w:line="280" w:lineRule="exact"/>
      </w:pPr>
      <w:r>
        <w:rPr>
          <w:rFonts w:ascii="Arial" w:hAnsi="Arial" w:eastAsia="Songti SC"/>
          <w:b/>
          <w:color w:val="000000"/>
          <w:sz w:val="20"/>
        </w:rPr>
        <w:t>表19  分步对照的年化收益变化 2024—2025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69"/>
        <w:gridCol w:w="1928"/>
        <w:gridCol w:w="1928"/>
      </w:tblGrid>
      <w:tr>
        <w:trPr>
          <w:cantSplit/>
          <w:tblHeader/>
        </w:trPr>
        <w:tc>
          <w:tcPr>
            <w:tcW w:type="dxa" w:w="5669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/>
                <w:sz w:val="18"/>
              </w:rPr>
              <w:t>比较及含义</w:t>
            </w:r>
          </w:p>
        </w:tc>
        <w:tc>
          <w:tcPr>
            <w:tcW w:type="dxa" w:w="1928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100万元</w:t>
              <w:br/>
              <w:t>变化百分点</w:t>
            </w:r>
          </w:p>
        </w:tc>
        <w:tc>
          <w:tcPr>
            <w:tcW w:type="dxa" w:w="1928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5000万元</w:t>
              <w:br/>
              <w:t>变化百分点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VWAP_BASE − OPEN_BASE</w:t>
              <w:br/>
              <w:t>价格参照与成交资格</w:t>
            </w:r>
          </w:p>
        </w:tc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-0.14</w:t>
            </w:r>
          </w:p>
        </w:tc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+0.12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CAP_1P − VWAP_BASE</w:t>
              <w:br/>
              <w:t>容量与延迟路径</w:t>
            </w:r>
          </w:p>
        </w:tc>
        <w:tc>
          <w:tcPr>
            <w:tcW w:type="dxa" w:w="1928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+0.00</w:t>
            </w:r>
          </w:p>
        </w:tc>
        <w:tc>
          <w:tcPr>
            <w:tcW w:type="dxa" w:w="1928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+1.11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CAP_1P_SIGMA − CAP_1P</w:t>
              <w:br/>
              <w:t>波动率数据覆盖</w:t>
            </w:r>
          </w:p>
        </w:tc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+0.00</w:t>
            </w:r>
          </w:p>
        </w:tc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+0.00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MAIN_1P − CAP_1P_SIGMA</w:t>
              <w:br/>
              <w:t>增量冲击与持仓路径</w:t>
            </w:r>
          </w:p>
        </w:tc>
        <w:tc>
          <w:tcPr>
            <w:tcW w:type="dxa" w:w="1928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-0.09</w:t>
            </w:r>
          </w:p>
        </w:tc>
        <w:tc>
          <w:tcPr>
            <w:tcW w:type="dxa" w:w="1928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-0.65</w:t>
            </w:r>
          </w:p>
        </w:tc>
      </w:tr>
    </w:tbl>
    <w:p>
      <w:pPr>
        <w:spacing w:after="0" w:line="60" w:lineRule="exact"/>
      </w:pPr>
    </w:p>
    <w:p>
      <w:pPr>
        <w:spacing w:after="80" w:line="260" w:lineRule="exact"/>
      </w:pPr>
      <w:r>
        <w:rPr>
          <w:rFonts w:ascii="Arial" w:hAnsi="Arial" w:eastAsia="Songti SC"/>
          <w:b w:val="0"/>
          <w:color w:val="000000"/>
          <w:sz w:val="18"/>
        </w:rPr>
        <w:t>各行是重跑后的年化差额，不是现金费用的简单扣减。最后一行使用相同σ资格；差异仍可通过现金、整手、延迟与后续持仓传播。容量更紧可能减少涨跌两侧暴露，曲线不保证单调。</w:t>
      </w:r>
    </w:p>
    <w:p>
      <w:pPr>
        <w:spacing w:after="80" w:line="260" w:lineRule="exact"/>
      </w:pPr>
      <w:r>
        <w:rPr>
          <w:rFonts w:ascii="Arial" w:hAnsi="Arial" w:eastAsia="Songti SC"/>
          <w:b w:val="0"/>
          <w:color w:val="000000"/>
          <w:sz w:val="18"/>
        </w:rPr>
        <w:t>保持1%容量，把η从0.5升至1.0，100万／5000万元年化分别较主压力变动-0.08／-0.69个百分点。主压力这两档累计增量冲击费用为0.16／56.23万元。</w:t>
      </w:r>
    </w:p>
    <w:p>
      <w:pPr>
        <w:keepNext/>
        <w:spacing w:after="80" w:line="280" w:lineRule="exact"/>
      </w:pPr>
      <w:r>
        <w:rPr>
          <w:rFonts w:ascii="Arial" w:hAnsi="Arial" w:eastAsia="Songti SC"/>
          <w:b/>
          <w:color w:val="000000"/>
          <w:sz w:val="20"/>
        </w:rPr>
        <w:t>表20  样本内压力结果及复利规模 2015—2023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1701"/>
        <w:gridCol w:w="1757"/>
        <w:gridCol w:w="1928"/>
        <w:gridCol w:w="2608"/>
      </w:tblGrid>
      <w:tr>
        <w:trPr>
          <w:cantSplit/>
          <w:tblHeader/>
        </w:trPr>
        <w:tc>
          <w:tcPr>
            <w:tcW w:type="dxa" w:w="1531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/>
                <w:sz w:val="18"/>
              </w:rPr>
              <w:t>初始资金</w:t>
            </w:r>
          </w:p>
        </w:tc>
        <w:tc>
          <w:tcPr>
            <w:tcW w:type="dxa" w:w="1701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基准年化</w:t>
            </w:r>
          </w:p>
        </w:tc>
        <w:tc>
          <w:tcPr>
            <w:tcW w:type="dxa" w:w="1757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主压力年化</w:t>
            </w:r>
          </w:p>
        </w:tc>
        <w:tc>
          <w:tcPr>
            <w:tcW w:type="dxa" w:w="1928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尝试完成率</w:t>
            </w:r>
          </w:p>
        </w:tc>
        <w:tc>
          <w:tcPr>
            <w:tcW w:type="dxa" w:w="2608"/>
            <w:vAlign w:val="center"/>
            <w:shd w:fill="E7EBEE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/>
                <w:sz w:val="18"/>
              </w:rPr>
              <w:t>主压力最大净值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100万元</w:t>
            </w:r>
          </w:p>
        </w:tc>
        <w:tc>
          <w:tcPr>
            <w:tcW w:type="dxa" w:w="1701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22.05%</w:t>
            </w:r>
          </w:p>
        </w:tc>
        <w:tc>
          <w:tcPr>
            <w:tcW w:type="dxa" w:w="1757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21.74%</w:t>
            </w:r>
          </w:p>
        </w:tc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43.45%</w:t>
            </w:r>
          </w:p>
        </w:tc>
        <w:tc>
          <w:tcPr>
            <w:tcW w:type="dxa" w:w="2608"/>
            <w:vAlign w:val="center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602.3万元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left"/>
            </w:pPr>
            <w:r>
              <w:rPr>
                <w:rFonts w:ascii="Arial" w:hAnsi="Arial" w:eastAsia="Songti SC"/>
                <w:b w:val="0"/>
                <w:sz w:val="18"/>
              </w:rPr>
              <w:t>5,000万元</w:t>
            </w:r>
          </w:p>
        </w:tc>
        <w:tc>
          <w:tcPr>
            <w:tcW w:type="dxa" w:w="1701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22.98%</w:t>
            </w:r>
          </w:p>
        </w:tc>
        <w:tc>
          <w:tcPr>
            <w:tcW w:type="dxa" w:w="1757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21.60%</w:t>
            </w:r>
          </w:p>
        </w:tc>
        <w:tc>
          <w:tcPr>
            <w:tcW w:type="dxa" w:w="1928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27.64%</w:t>
            </w:r>
          </w:p>
        </w:tc>
        <w:tc>
          <w:tcPr>
            <w:tcW w:type="dxa" w:w="2608"/>
            <w:vAlign w:val="center"/>
            <w:shd w:fill="F5F7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20" w:after="20" w:line="260" w:lineRule="exact"/>
              <w:jc w:val="center"/>
            </w:pPr>
            <w:r>
              <w:rPr>
                <w:rFonts w:ascii="Arial" w:hAnsi="Arial" w:eastAsia="Songti SC"/>
                <w:b w:val="0"/>
                <w:sz w:val="18"/>
              </w:rPr>
              <w:t>29,816.2万元</w:t>
            </w:r>
          </w:p>
        </w:tc>
      </w:tr>
    </w:tbl>
    <w:p>
      <w:pPr>
        <w:spacing w:after="0" w:line="60" w:lineRule="exact"/>
      </w:pPr>
    </w:p>
    <w:p>
      <w:pPr>
        <w:spacing w:after="80" w:line="260" w:lineRule="exact"/>
      </w:pPr>
      <w:r>
        <w:rPr>
          <w:rFonts w:ascii="Arial" w:hAnsi="Arial" w:eastAsia="Songti SC"/>
          <w:b w:val="0"/>
          <w:color w:val="000000"/>
          <w:sz w:val="18"/>
        </w:rPr>
        <w:t>2024—2025主压力的最大净值：100万元起点为159.2万元，5000万元起点为8,182.7万元。九年样本内路径可能放大实际资金量；所有结果均不代表全程维持恒定规模。完整八场景收益、月度夏普和风险指标见performance.csv。</w:t>
      </w:r>
    </w:p>
    <w:p>
      <w:pPr>
        <w:spacing w:after="80" w:line="260" w:lineRule="exact"/>
      </w:pPr>
      <w:r>
        <w:rPr>
          <w:rFonts w:ascii="Arial" w:hAnsi="Arial" w:eastAsia="Songti SC"/>
          <w:b w:val="0"/>
          <w:color w:val="000000"/>
          <w:sz w:val="18"/>
        </w:rPr>
        <w:t>历史留出100万／5000万元主压力的月末平均普通目标缺口占净值5.29%／1.03%；这只度量普通目标缺口，ST补仓未用预算在结果表中另列，不能把尝试完成率当作组合目标完成率。</w:t>
      </w:r>
    </w:p>
    <w:p>
      <w:pPr>
        <w:pStyle w:val="Heading2"/>
        <w:pageBreakBefore/>
        <w:spacing w:after="80" w:line="360" w:lineRule="exact"/>
      </w:pPr>
      <w:r>
        <w:rPr>
          <w:rFonts w:ascii="Arial" w:hAnsi="Arial" w:eastAsia="Songti SC"/>
          <w:b/>
          <w:color w:val="000000"/>
          <w:sz w:val="24"/>
        </w:rPr>
        <w:t>14（续） 未知数据与风险退出需要单列</w:t>
      </w:r>
    </w:p>
    <w:p>
      <w:pPr>
        <w:spacing w:after="80" w:line="260" w:lineRule="exact"/>
      </w:pPr>
      <w:r>
        <w:rPr>
          <w:rFonts w:ascii="Arial" w:hAnsi="Arial" w:eastAsia="Songti SC"/>
          <w:b w:val="0"/>
          <w:color w:val="000000"/>
          <w:sz w:val="18"/>
        </w:rPr>
        <w:t>公开输入核验记录：新旧重叠字段差异0项；原市场矩阵内VWAP异常0项；已有开盘报价但成交量缺失的公司日0项。原冻结赢家的144,314条计划记录中，ADV未知0条、ADV为0有10,069条、σ未知100条。该口径是原订单覆盖，不是新场景的成交率。</w:t>
      </w:r>
    </w:p>
    <w:p>
      <w:pPr>
        <w:spacing w:after="80" w:line="260" w:lineRule="exact"/>
      </w:pPr>
      <w:r>
        <w:rPr>
          <w:rFonts w:ascii="Arial" w:hAnsi="Arial" w:eastAsia="Songti SC"/>
          <w:b w:val="0"/>
          <w:color w:val="000000"/>
          <w:sz w:val="18"/>
        </w:rPr>
        <w:t>主压力中，因所需数据缺失、无效或ADV为0而未成交的尝试，样本内100万／5000万元分别为109／124次，历史留出为0／0次。该汇总含零ADV，不可全部称为数据缺失；详细原因见constraint_summary.csv。</w:t>
      </w:r>
    </w:p>
    <w:p>
      <w:pPr>
        <w:spacing w:after="80" w:line="260" w:lineRule="exact"/>
      </w:pPr>
      <w:r>
        <w:rPr>
          <w:rFonts w:ascii="Arial" w:hAnsi="Arial" w:eastAsia="Songti SC"/>
          <w:b w:val="0"/>
          <w:color w:val="000000"/>
          <w:sz w:val="18"/>
        </w:rPr>
        <w:t>历史留出100万／5000万元主压力的ST卖出已成交部分，最长延迟分别为16／16个交易日；期末待退出股票为0／0只，占净值0.00%／0.00%。已成交延迟不覆盖仍未卖出的尾部风险。</w:t>
      </w:r>
    </w:p>
    <w:p>
      <w:pPr>
        <w:spacing w:after="80" w:line="260" w:lineRule="exact"/>
      </w:pPr>
      <w:r>
        <w:rPr>
          <w:rFonts w:ascii="Arial" w:hAnsi="Arial" w:eastAsia="Songti SC"/>
          <w:b w:val="0"/>
          <w:color w:val="000000"/>
          <w:sz w:val="18"/>
        </w:rPr>
        <w:t>期末仍待退出头寸的最长已等待时间分别为0／0个交易日。</w:t>
      </w:r>
    </w:p>
    <w:p>
      <w:pPr>
        <w:spacing w:after="80" w:line="260" w:lineRule="exact"/>
      </w:pPr>
      <w:r>
        <w:rPr>
          <w:rFonts w:ascii="Arial" w:hAnsi="Arial" w:eastAsia="Songti SC"/>
          <w:b w:val="0"/>
          <w:color w:val="000000"/>
          <w:sz w:val="18"/>
        </w:rPr>
        <w:t>期末待退出为0不等于全部成功卖出。600321.SH在模型中于2024-06-27按冻结的零残值规则终止记账；100万／5000万元主情景的最后账面冲销分别为3,950／168,450元，卖出回款均为0。这是终止时账面冲销，非总投资损失；多情景中的同一事件不能重复算作多家公司。</w:t>
      </w:r>
    </w:p>
    <w:p>
      <w:pPr>
        <w:spacing w:after="80" w:line="260" w:lineRule="exact"/>
      </w:pPr>
      <w:r>
        <w:rPr>
          <w:rFonts w:ascii="Arial" w:hAnsi="Arial" w:eastAsia="Songti SC"/>
          <w:b w:val="0"/>
          <w:color w:val="000000"/>
          <w:sz w:val="18"/>
        </w:rPr>
        <w:t>日频总量无法描述分钟价格路径、买卖价差、开盘竞价队列及成交量的内生反应。全天VWAP也不保证真实可获得。本文没有实测订单校准η，复权份额与分红再投资仍不是完整券商结算账户。因此只判断固定压力假设怎样改变收益与暴露，不宣布“某资金规模一定可执行”。</w:t>
      </w:r>
    </w:p>
    <w:p>
      <w:pPr>
        <w:pStyle w:val="Heading1"/>
        <w:pageBreakBefore/>
        <w:snapToGrid w:val="0"/>
        <w:spacing w:line="480" w:lineRule="exact"/>
      </w:pPr>
      <w:r>
        <w:rPr>
          <w:rFonts w:eastAsia="Songti SC"/>
          <w:color w:val="000000"/>
        </w:rPr>
        <w:t>15  结论与仍然不能回答的问题</w:t>
      </w:r>
    </w:p>
    <w:p>
      <w:pPr>
        <w:pStyle w:val="Heading2"/>
        <w:snapToGrid w:val="0"/>
        <w:spacing w:line="360" w:lineRule="exact"/>
      </w:pPr>
      <w:r>
        <w:rPr>
          <w:rFonts w:eastAsia="Songti SC"/>
          <w:color w:val="000000"/>
        </w:rPr>
        <w:t>当前证据支持什么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在规定股票池、历史数据、ST和交易成本口径下，最小100只组合是2015—2023年的夏普赢家；冻结规则后，其2024—2025年收益点估计继续领先原五档及新增五档。新增区间加强了对样本内市值梯度的描述，资金实验则说明实现接近研究组合的暴露需要承担整手、现金与费用约束。</w:t>
      </w:r>
    </w:p>
    <w:p>
      <w:pPr>
        <w:pStyle w:val="Heading2"/>
        <w:snapToGrid w:val="0"/>
        <w:spacing w:line="360" w:lineRule="exact"/>
      </w:pPr>
      <w:r>
        <w:rPr>
          <w:rFonts w:eastAsia="Songti SC"/>
          <w:color w:val="000000"/>
        </w:rPr>
        <w:t>哪些原始判断需要收窄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不能把结果写成“最小市值必然最好”。样本外夏普不是最小组最高，各档收益不严格单调，相对基准的月均收益差尚未排除0。ST退出不保证及时成交，也未在样本外显著降低最大回撤。加入控制后仍有差异，不足以识别独立Alpha、壳价值或因果机制。</w:t>
      </w:r>
    </w:p>
    <w:p>
      <w:pPr>
        <w:pStyle w:val="Heading2"/>
        <w:snapToGrid w:val="0"/>
        <w:spacing w:line="360" w:lineRule="exact"/>
      </w:pPr>
      <w:r>
        <w:rPr>
          <w:rFonts w:eastAsia="Songti SC"/>
          <w:color w:val="000000"/>
        </w:rPr>
        <w:t>优先考虑的证据限制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验证独立性：历史留出期已经在研究迭代中查看，新增区间与资金实验都是事后补充；24个月样本较短，且没有全面控制多重比较。下一步应先登记规则，再观察真正未使用的新数据，而不是继续按已见结果调整赢家。</w:t>
      </w:r>
    </w:p>
    <w:p>
      <w:pPr>
        <w:snapToGrid w:val="0"/>
        <w:spacing w:line="280" w:lineRule="exact"/>
      </w:pPr>
      <w:r>
        <w:rPr>
          <w:rFonts w:eastAsia="Songti SC"/>
        </w:rPr>
        <w:t>价格与结算：本次增加了日成交额约束、部分成交重试与增量冲击情景，但没有分钟路径、买卖价差、队列或实测冲击校准，日VWAP也不是可保证的成交价。停牌末次估值可延迟风险显现，退市残值并非认证清算款；整手实验沿用复权账户，派息到账、红股、税款与整数登记仍需完整重建。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历史信息：早期停牌总市值存在7,879行估计补全，财报历史版本未全部认证，简称快照和季度行业分类也可能修订或滞后。程序检查完整不等于每项数据已经获得独立人工确认。</w:t>
      </w:r>
    </w:p>
    <w:p>
      <w:pPr>
        <w:snapToGrid w:val="0"/>
        <w:spacing w:line="280" w:lineRule="exact"/>
      </w:pPr>
      <w:r>
        <w:rPr>
          <w:rFonts w:eastAsia="Songti SC"/>
          <w:b w:val="0"/>
        </w:rPr>
        <w:t>比较口径：股票使用复权收益，中证1000使用价格指数。未计入指数分红和实际ETF费用，因此本文的相对收益不是可直接交易的净超额收益。</w:t>
      </w:r>
    </w:p>
    <w:p>
      <w:pPr>
        <w:pStyle w:val="Heading2"/>
        <w:snapToGrid w:val="0"/>
        <w:spacing w:line="360" w:lineRule="exact"/>
      </w:pPr>
      <w:r>
        <w:rPr>
          <w:rFonts w:eastAsia="Songti SC"/>
          <w:color w:val="000000"/>
        </w:rPr>
        <w:t>项目的最终表述</w:t>
      </w:r>
    </w:p>
    <w:p>
      <w:pPr>
        <w:snapToGrid w:val="0"/>
        <w:spacing w:line="280" w:lineRule="exact"/>
      </w:pPr>
      <w:r>
        <w:rPr>
          <w:rFonts w:eastAsia="Songti SC"/>
        </w:rPr>
        <w:t>本项目研究了一个受ST和交易约束影响的A股小市值策略，并用历史留出、区间扩展、收益集中度、市场环境、整手费用与成交容量压力划定适用边界。固定压力假设会改变实现收益与持仓路径，不能据此认证可执行资金上限。研究支持描述历史收益优势及风险代价，不支持把最高历史收益包装为稳健获利规律、独立Alpha或壳价值。</w:t>
      </w:r>
    </w:p>
    <w:p>
      <w:pPr>
        <w:pStyle w:val="Heading1"/>
        <w:pageBreakBefore/>
        <w:snapToGrid w:val="0"/>
        <w:spacing w:line="480" w:lineRule="exact"/>
      </w:pPr>
      <w:r>
        <w:rPr>
          <w:rFonts w:eastAsia="Songti SC"/>
          <w:color w:val="000000"/>
        </w:rPr>
        <w:t>附录  数据核验 复现与参考来源</w:t>
      </w:r>
    </w:p>
    <w:p>
      <w:pPr>
        <w:pStyle w:val="Heading2"/>
        <w:snapToGrid w:val="0"/>
        <w:spacing w:line="360" w:lineRule="exact"/>
      </w:pPr>
      <w:r>
        <w:rPr>
          <w:rFonts w:eastAsia="Songti SC"/>
          <w:color w:val="000000"/>
        </w:rPr>
        <w:t>结果与核验记录</w:t>
      </w:r>
    </w:p>
    <w:p>
      <w:pPr>
        <w:snapToGrid w:val="0"/>
        <w:spacing w:line="280" w:lineRule="exact" w:after="60"/>
      </w:pPr>
      <w:r>
        <w:rPr>
          <w:rFonts w:eastAsia="Songti SC"/>
        </w:rPr>
        <w:t>主结果覆盖132个月、66,000个分组公司—月，冻结原始输入12,579份。核验清单包含24个公司—月及31个执行案例；源项目核心135项测试通过；公开版本另行执行测试，结果见仓库持续集成记录，新增资金实验核对买单100股整数倍、费用与现金预算，扩展实验补证209个暂停上市交易日。上述为程序与来源记录检查，未获得独立人工签字。 新增128格容量情景分别重建并核对每日现金、持仓净值、前日预算、整手、共享成交额度与费用；逐格检查摘要见results/capacity/ledger_checks.csv。这是模型内部一致性验证，不是实际成交认证。</w:t>
      </w:r>
    </w:p>
    <w:p>
      <w:pPr>
        <w:snapToGrid w:val="0"/>
        <w:spacing w:line="280" w:lineRule="exact" w:after="60"/>
      </w:pPr>
      <w:r>
        <w:rPr>
          <w:rFonts w:eastAsia="Songti SC"/>
          <w:b w:val="0"/>
          <w:sz w:val="18"/>
        </w:rPr>
        <w:t>收益：复合年化＝各月（1＋收益率）乘积的12/N次方减1。夏普＝√12×月收益均值÷月收益样本标准差，无风险率0。换手为实际买卖金额之和除以前收盘净值后累积；日度最大回撤包含评价期期初净值。HAC(6)用于月均收益差与平均回归系数的不确定性，不用于CAGR差。</w:t>
      </w:r>
    </w:p>
    <w:p>
      <w:pPr>
        <w:pStyle w:val="Heading2"/>
        <w:snapToGrid w:val="0"/>
        <w:spacing w:line="360" w:lineRule="exact"/>
      </w:pPr>
      <w:r>
        <w:rPr>
          <w:rFonts w:eastAsia="Songti SC"/>
          <w:color w:val="000000"/>
        </w:rPr>
        <w:t>复现与定位</w:t>
      </w:r>
    </w:p>
    <w:p>
      <w:pPr>
        <w:snapToGrid w:val="0"/>
        <w:spacing w:line="280" w:lineRule="exact" w:after="60"/>
      </w:pPr>
      <w:r>
        <w:rPr>
          <w:rFonts w:eastAsia="Songti SC"/>
        </w:rPr>
        <w:t>公开包可用research.ipynb复算选优、绩效与主要统计量；这属于已保存结果的复算。完整交易回测使用python -m microcap all，需另外准备已授权的历史输入，运行前执行缺口检查。Word统一由scripts/build_word_report.py生成；复现步骤与依赖见RUN_GUIDE.md。 容量完整重跑使用scripts/run_capacity_stress.py，需授权数据；scripts/build_capacity_figures.py复算图表，_report_capacity.py在统一入口中插入本次结果。</w:t>
      </w:r>
    </w:p>
    <w:p>
      <w:pPr>
        <w:snapToGrid w:val="0"/>
        <w:spacing w:line="280" w:lineRule="exact" w:after="60"/>
      </w:pPr>
      <w:r>
        <w:rPr>
          <w:rFonts w:eastAsia="Songti SC"/>
        </w:rPr>
        <w:t>核心结果位于results，执行和区间扩展位于results/supplement，适用性分析位于results/applicability。PUBLIC_MANIFEST.json校验公开文件，provenance说明历史记录的边界。原始行情、完整逐笔模拟账本及公告证据未随公开包提供；不能仅凭公开结果表认证原始输入。 成交容量协议、覆盖记录、128格绩效及尝试统计位于results/capacity；原始日行情与逐笔模拟账本仍不公开，结果复算不等于独立认证输入。</w:t>
      </w:r>
    </w:p>
    <w:p>
      <w:pPr>
        <w:pStyle w:val="Heading2"/>
        <w:snapToGrid w:val="0"/>
        <w:spacing w:line="360" w:lineRule="exact"/>
      </w:pPr>
      <w:r>
        <w:rPr>
          <w:rFonts w:eastAsia="Songti SC"/>
          <w:color w:val="000000"/>
        </w:rPr>
        <w:t>参考来源</w:t>
      </w:r>
    </w:p>
    <w:p>
      <w:pPr>
        <w:spacing w:after="60" w:line="280" w:lineRule="exact"/>
        <w:snapToGrid w:val="0"/>
      </w:pPr>
      <w:hyperlink r:id="rId16">
        <w:r>
          <w:rPr>
            <w:rFonts w:eastAsia="Songti SC"/>
            <w:color w:val="245D86"/>
            <w:sz w:val="19"/>
          </w:rPr>
          <w:t>1  Lee Qu Shen 2023 Gate Fees</w:t>
        </w:r>
      </w:hyperlink>
    </w:p>
    <w:p>
      <w:pPr>
        <w:snapToGrid w:val="0"/>
        <w:spacing w:line="280" w:lineRule="exact" w:after="60"/>
      </w:pPr>
      <w:r>
        <w:rPr>
          <w:rFonts w:eastAsia="Songti SC"/>
          <w:b w:val="0"/>
          <w:sz w:val="18"/>
        </w:rPr>
        <w:t>Review of Finance 27(3) 809–849；壳价值背景，非本文识别结果。</w:t>
      </w:r>
    </w:p>
    <w:p>
      <w:pPr>
        <w:spacing w:after="60" w:line="280" w:lineRule="exact"/>
        <w:snapToGrid w:val="0"/>
      </w:pPr>
      <w:hyperlink r:id="rId17">
        <w:r>
          <w:rPr>
            <w:rFonts w:eastAsia="Songti SC"/>
            <w:color w:val="245D86"/>
            <w:sz w:val="19"/>
          </w:rPr>
          <w:t>2  Asness等 Size Matters If You Control Your Junk</w:t>
        </w:r>
      </w:hyperlink>
    </w:p>
    <w:p>
      <w:pPr>
        <w:snapToGrid w:val="0"/>
        <w:spacing w:line="280" w:lineRule="exact" w:after="60"/>
      </w:pPr>
      <w:r>
        <w:rPr>
          <w:rFonts w:eastAsia="Songti SC"/>
          <w:b w:val="0"/>
          <w:sz w:val="18"/>
        </w:rPr>
        <w:t>市值与质量特征控制的方法参考。</w:t>
      </w:r>
    </w:p>
    <w:p>
      <w:pPr>
        <w:spacing w:after="60" w:line="280" w:lineRule="exact"/>
        <w:snapToGrid w:val="0"/>
      </w:pPr>
      <w:hyperlink r:id="rId18">
        <w:r>
          <w:rPr>
            <w:rFonts w:eastAsia="Songti SC"/>
            <w:color w:val="245D86"/>
            <w:sz w:val="19"/>
          </w:rPr>
          <w:t>3  Harvey Liu Zhu 多重检验与收益因子</w:t>
        </w:r>
      </w:hyperlink>
    </w:p>
    <w:p>
      <w:pPr>
        <w:snapToGrid w:val="0"/>
        <w:spacing w:line="280" w:lineRule="exact" w:after="60"/>
      </w:pPr>
      <w:r>
        <w:rPr>
          <w:rFonts w:eastAsia="Songti SC"/>
          <w:b w:val="0"/>
          <w:sz w:val="18"/>
        </w:rPr>
        <w:t>NBER 20592；本文保留多重探索带来的解释限制。</w:t>
      </w:r>
    </w:p>
    <w:p>
      <w:pPr>
        <w:spacing w:after="60" w:line="280" w:lineRule="exact"/>
        <w:snapToGrid w:val="0"/>
      </w:pPr>
      <w:hyperlink r:id="rId19">
        <w:r>
          <w:rPr>
            <w:rFonts w:eastAsia="Songti SC"/>
            <w:color w:val="245D86"/>
            <w:sz w:val="19"/>
          </w:rPr>
          <w:t>4  深交所 主板交易申报数量说明</w:t>
        </w:r>
      </w:hyperlink>
    </w:p>
    <w:p>
      <w:pPr>
        <w:snapToGrid w:val="0"/>
        <w:spacing w:line="280" w:lineRule="exact" w:after="60"/>
      </w:pPr>
      <w:r>
        <w:rPr>
          <w:rFonts w:eastAsia="Songti SC"/>
          <w:b w:val="0"/>
          <w:sz w:val="18"/>
        </w:rPr>
        <w:t>买入100股整数倍，不足100股余额一次性卖出。</w:t>
      </w:r>
    </w:p>
    <w:p>
      <w:pPr>
        <w:spacing w:after="60" w:line="280" w:lineRule="exact"/>
        <w:snapToGrid w:val="0"/>
      </w:pPr>
      <w:hyperlink r:id="rId20">
        <w:r>
          <w:rPr>
            <w:rFonts w:eastAsia="Songti SC"/>
            <w:color w:val="245D86"/>
            <w:sz w:val="19"/>
          </w:rPr>
          <w:t>5  深交所 投资者入市手册股票篇</w:t>
        </w:r>
      </w:hyperlink>
    </w:p>
    <w:p>
      <w:pPr>
        <w:snapToGrid w:val="0"/>
        <w:spacing w:line="280" w:lineRule="exact" w:after="60"/>
      </w:pPr>
      <w:r>
        <w:rPr>
          <w:rFonts w:eastAsia="Songti SC"/>
          <w:b w:val="0"/>
          <w:sz w:val="18"/>
        </w:rPr>
        <w:t>最低5元佣金的情景依据；2.5bp为研究假设。</w:t>
      </w:r>
    </w:p>
    <w:p>
      <w:pPr>
        <w:spacing w:after="60" w:line="280" w:lineRule="exact"/>
        <w:snapToGrid w:val="0"/>
      </w:pPr>
      <w:hyperlink r:id="rId21">
        <w:r>
          <w:rPr>
            <w:rFonts w:eastAsia="Songti SC"/>
            <w:color w:val="245D86"/>
            <w:sz w:val="19"/>
          </w:rPr>
          <w:t>6  华泽钴镍 关于公司股票暂停上市的公告</w:t>
        </w:r>
      </w:hyperlink>
    </w:p>
    <w:p>
      <w:pPr>
        <w:snapToGrid w:val="0"/>
        <w:spacing w:line="280" w:lineRule="exact" w:after="60"/>
      </w:pPr>
      <w:r>
        <w:rPr>
          <w:rFonts w:eastAsia="Songti SC"/>
          <w:b w:val="0"/>
          <w:sz w:val="18"/>
        </w:rPr>
        <w:t>2018-106；2018年7月13日起暂停上市。</w:t>
      </w:r>
    </w:p>
    <w:p>
      <w:pPr>
        <w:spacing w:after="60" w:line="280" w:lineRule="exact"/>
        <w:snapToGrid w:val="0"/>
      </w:pPr>
      <w:hyperlink r:id="rId22">
        <w:r>
          <w:rPr>
            <w:rFonts w:eastAsia="Songti SC"/>
            <w:color w:val="245D86"/>
            <w:sz w:val="19"/>
          </w:rPr>
          <w:t>7  华泽钴镍 关于公司股票终止上市的公告</w:t>
        </w:r>
      </w:hyperlink>
    </w:p>
    <w:p>
      <w:pPr>
        <w:snapToGrid w:val="0"/>
        <w:spacing w:line="280" w:lineRule="exact" w:after="60"/>
      </w:pPr>
      <w:r>
        <w:rPr>
          <w:rFonts w:eastAsia="Songti SC"/>
          <w:b w:val="0"/>
          <w:sz w:val="18"/>
        </w:rPr>
        <w:t>2019-029；2019年5月27日进入退市整理期。</w:t>
      </w:r>
    </w:p>
    <w:p>
      <w:pPr>
        <w:spacing w:after="20" w:line="260" w:lineRule="exact"/>
      </w:pPr>
      <w:hyperlink r:id="rId24">
        <w:r>
          <w:rPr>
            <w:color w:val="245D86"/>
            <w:sz w:val="18"/>
          </w:rPr>
          <w:t>8  Tushare 日线行情字段说明</w:t>
        </w:r>
      </w:hyperlink>
    </w:p>
    <w:p>
      <w:pPr>
        <w:spacing w:line="260" w:lineRule="exact" w:after="60"/>
      </w:pPr>
      <w:r>
        <w:rPr>
          <w:rFonts w:eastAsia="Songti SC"/>
          <w:sz w:val="18"/>
        </w:rPr>
        <w:t>成交额以千元、成交量以手记录；用于日VWAP和成交容量输入的单位换算。</w:t>
      </w:r>
    </w:p>
    <w:p>
      <w:pPr>
        <w:spacing w:after="20" w:line="260" w:lineRule="exact"/>
      </w:pPr>
      <w:hyperlink r:id="rId25">
        <w:r>
          <w:rPr>
            <w:color w:val="245D86"/>
            <w:sz w:val="18"/>
          </w:rPr>
          <w:t>9  Tóth等 Anomalous Price Impact and the Critical Nature of Liquidity</w:t>
        </w:r>
      </w:hyperlink>
    </w:p>
    <w:p>
      <w:pPr>
        <w:spacing w:line="260" w:lineRule="exact" w:after="60"/>
      </w:pPr>
      <w:r>
        <w:rPr>
          <w:rFonts w:eastAsia="Songti SC"/>
          <w:sz w:val="18"/>
        </w:rPr>
        <w:t>Physical Review X 1 021006；平方根冲击形式的方法背景，不提供本策略的实测参数。</w:t>
      </w:r>
    </w:p>
    <w:p>
      <w:pPr>
        <w:spacing w:after="20" w:line="260" w:lineRule="exact"/>
      </w:pPr>
      <w:hyperlink r:id="rId26">
        <w:r>
          <w:rPr>
            <w:color w:val="245D86"/>
            <w:sz w:val="18"/>
          </w:rPr>
          <w:t>10  Frazzini Israel Moskowitz Trading Costs of Asset Pricing Anomalies</w:t>
        </w:r>
      </w:hyperlink>
    </w:p>
    <w:p>
      <w:pPr>
        <w:spacing w:line="260" w:lineRule="exact" w:after="60"/>
      </w:pPr>
      <w:r>
        <w:rPr>
          <w:rFonts w:eastAsia="Songti SC"/>
          <w:sz w:val="18"/>
        </w:rPr>
        <w:t>AQR工作论文；交易成本与规模影响的方法参考，不能把海外估计直接当作A股参数。</w:t>
      </w:r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A股小市值策略研究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4" w:lineRule="auto"/>
    </w:pPr>
    <w:rPr>
      <w:rFonts w:ascii="Arial" w:hAnsi="Arial" w:eastAsia="Songti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83" w:lineRule="auto"/>
      <w:outlineLvl w:val="0"/>
    </w:pPr>
    <w:rPr>
      <w:rFonts w:ascii="Arial" w:hAnsi="Arial" w:eastAsia="Song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83" w:lineRule="auto"/>
      <w:outlineLvl w:val="1"/>
    </w:pPr>
    <w:rPr>
      <w:rFonts w:ascii="Arial" w:hAnsi="Arial" w:eastAsia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83" w:lineRule="auto"/>
      <w:contextualSpacing/>
    </w:pPr>
    <w:rPr>
      <w:rFonts w:ascii="Arial" w:hAnsi="Arial" w:eastAsia="Song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83" w:lineRule="auto"/>
    </w:pPr>
    <w:rPr>
      <w:rFonts w:ascii="Arial" w:hAnsi="Arial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revfin.org/gate-fees-the-pervasive-effect-of-ipo-restrictions-on-chinese-equity-markets/" TargetMode="External"/><Relationship Id="rId17" Type="http://schemas.openxmlformats.org/officeDocument/2006/relationships/hyperlink" Target="https://www.aqr.com/insights/research/working-paper/size-matters-if-you-control-your-junk" TargetMode="External"/><Relationship Id="rId18" Type="http://schemas.openxmlformats.org/officeDocument/2006/relationships/hyperlink" Target="https://www.nber.org/papers/w20592" TargetMode="External"/><Relationship Id="rId19" Type="http://schemas.openxmlformats.org/officeDocument/2006/relationships/hyperlink" Target="https://investor.szse.cn/knowledge/t20230308_599142.html" TargetMode="External"/><Relationship Id="rId20" Type="http://schemas.openxmlformats.org/officeDocument/2006/relationships/hyperlink" Target="https://www.szse.cn/www/investor/institute/bookshelf/manualseriesbook/P020190322685818724112.pdf" TargetMode="External"/><Relationship Id="rId21" Type="http://schemas.openxmlformats.org/officeDocument/2006/relationships/hyperlink" Target="https://disc.static.szse.cn/download/disc/disk01/finalpage/2018-07-13/40f49187-2d30-44a2-a031-e8b8d8ec5208.PDF" TargetMode="External"/><Relationship Id="rId22" Type="http://schemas.openxmlformats.org/officeDocument/2006/relationships/hyperlink" Target="https://static.cninfo.com.cn/finalpage/2019-05-18/1206283352.PDF" TargetMode="External"/><Relationship Id="rId23" Type="http://schemas.openxmlformats.org/officeDocument/2006/relationships/image" Target="media/image7.png"/><Relationship Id="rId24" Type="http://schemas.openxmlformats.org/officeDocument/2006/relationships/hyperlink" Target="https://tushare.pro/document/2?doc_id=27" TargetMode="External"/><Relationship Id="rId25" Type="http://schemas.openxmlformats.org/officeDocument/2006/relationships/hyperlink" Target="https://journals.aps.org/prx/abstract/10.1103/PhysRevX.1.021006" TargetMode="External"/><Relationship Id="rId26" Type="http://schemas.openxmlformats.org/officeDocument/2006/relationships/hyperlink" Target="https://www.aqr.com/insights/research/working-paper/trading-costs-of-asset-pricing-anomal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A股小市值策略的收益延续性与执行约束</dc:title>
  <dc:subject>历史留出验证 资金与成交容量压力 风险及证据边界</dc:subject>
  <dc:creator>Elysiaivy</dc:creator>
  <cp:keywords/>
  <dc:description>generated by python-docx</dc:description>
  <cp:lastModifiedBy>Elysiaivy</cp:lastModifiedBy>
  <cp:revision>1</cp:revision>
  <dcterms:created xsi:type="dcterms:W3CDTF">2026-10-25T00:00:00Z</dcterms:created>
  <dcterms:modified xsi:type="dcterms:W3CDTF">2026-10-25T00:00:00Z</dcterms:modified>
  <cp:category/>
</cp:coreProperties>
</file>