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24"/>
          <w:szCs w:val="24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Anna Bella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  <w:r>
        <w:rPr>
          <w:b/>
          <w:bCs/>
          <w:sz w:val="20"/>
          <w:szCs w:val="20"/>
          <w:u w:val="single"/>
          <w:lang w:val="en-IN"/>
        </w:rPr>
        <w:t>Breast Cancer Report</w:t>
      </w:r>
      <w:bookmarkStart w:id="0" w:name="__DdeLink__46_1485081374"/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b/>
          <w:bCs/>
          <w:sz w:val="22"/>
          <w:szCs w:val="22"/>
          <w:lang w:val="en-IN"/>
        </w:rPr>
        <w:t xml:space="preserve">  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17.99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10.38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122.8      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1002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0.2419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8.589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0.4601</w:t>
      </w:r>
      <w:bookmarkStart w:id="1" w:name="_GoBack"/>
      <w:bookmarkEnd w:id="1"/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08"/>
  <w:compat>
    <w:compatSetting w:name="compatibilityMode" w:uri="http://schemas.microsoft.com/office/word" w:val="12"/>
  </w:compat>
  <w:rsids>
    <w:rsidRoot w:val="00000000"/>
    <w:rsid w:val="3F356964"/>
    <w:rsid w:val="4C003C6D"/>
    <w:rsid w:val="66BD17AF"/>
    <w:rsid w:val="79A9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8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Ansh</cp:lastModifiedBy>
  <dcterms:modified xsi:type="dcterms:W3CDTF">2020-03-29T11:13:35Z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