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04ed1b7af9dcce6489bcd815eca175c2eed566d"/>
    <w:p>
      <w:pPr>
        <w:pStyle w:val="Heading1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AI-Generated Visual Content Detection and Media Trust</w:t>
      </w:r>
    </w:p>
    <w:p>
      <w:pPr>
        <w:pStyle w:val="FirstParagraph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Zheng Xing, Zhang Gaoxiang, Xiong Yubo, and Wang Dexing</w:t>
      </w:r>
      <w:r>
        <w:rPr>
          <w:rFonts w:ascii="Times New Roman" w:hAnsi="Times New Roman" w:eastAsia="Times New Roman"/>
          <w:sz w:val="24"/>
        </w:rPr>
        <w:br/>
      </w:r>
      <w:r>
        <w:rPr>
          <w:rFonts w:ascii="Times New Roman" w:hAnsi="Times New Roman" w:eastAsia="Times New Roman"/>
          <w:sz w:val="24"/>
        </w:rPr>
        <w:t xml:space="preserve">Class 3, Group 6</w:t>
      </w:r>
    </w:p>
    <w:bookmarkStart w:id="20" w:name="introduction"/>
    <w:p>
      <w:pPr>
        <w:pStyle w:val="Heading2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Introduction</w:t>
      </w:r>
    </w:p>
    <w:p>
      <w:pPr>
        <w:pStyle w:val="FirstParagraph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Generative AI is no longer limited to producing obviously artificial images. Newer image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models can generate photorealistic scenes, readable text, and interface-like layouts. OpenAI’s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GPT Image 2, for example, is documented as a current image model with the snapshot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eastAsia="Times New Roman"/>
          <w:sz w:val="24"/>
        </w:rPr>
        <w:t xml:space="preserve">gpt-image-2-2026-04-21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(OpenAI, 2026a). This technical shift matters socially because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online images are often treated as evidence. A screenshot of a livestream, a social media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post, or a chat interface does not merely look like a picture; it appears to carry platform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context, timestamps, comments, accounts, and other cues of authenticity.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This paper focuses on that changing status of visual evidence. Previous research has shown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that people often struggle to distinguish AI-generated media from human-created or real media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(Frank et al., 2024; Roca et al., 2025). Recent work also suggests that realistic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AI-synthesized images can increase belief in misinformation when they seem to provide strong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evidence for a claim (Guo et al., 2025), while AI-generated images are already being used by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spammers and scammers on social platforms for audience growth (DiResta &amp; Goldstein, 2024).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At the same time, screenshots occupy a special position in online communication because they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are frequently circulated as visual proof rather than as ordinary photographs (Inwood &amp;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Zappavigna, 2024).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This paper asks the following research question: How accurately did university-level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respondents distinguish AI-generated images from real images across common online visual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categories, and how did their trust ratings differ by image source and category? To answer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this question, the study uses a small-scale Wenjuanxing survey as its main local data source.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Existing studies on synthetic media detection, misinformation, and visual evidence are used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to frame and interpret the survey findings.</w:t>
      </w:r>
    </w:p>
    <w:bookmarkEnd w:id="20"/>
    <w:bookmarkStart w:id="26" w:name="methods"/>
    <w:p>
      <w:pPr>
        <w:pStyle w:val="Heading2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Methods</w:t>
      </w:r>
    </w:p>
    <w:bookmarkStart w:id="21" w:name="research-design"/>
    <w:p>
      <w:pPr>
        <w:pStyle w:val="Heading3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Research Design</w:t>
      </w:r>
    </w:p>
    <w:p>
      <w:pPr>
        <w:pStyle w:val="FirstParagraph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This study used a small-scale quantitative survey design. The Wenjuanxing survey provided the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main local data for testing how university-level respondents judged AI-generated and real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visual materials. Previous studies were used as background evidence because they explain why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human detection of AI-generated images is difficult and why screenshot-like materials can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influence credibility.</w:t>
      </w:r>
    </w:p>
    <w:bookmarkEnd w:id="21"/>
    <w:bookmarkStart w:id="22" w:name="participants-and-sample"/>
    <w:p>
      <w:pPr>
        <w:pStyle w:val="Heading3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Participants and Sample</w:t>
      </w:r>
    </w:p>
    <w:p>
      <w:pPr>
        <w:pStyle w:val="FirstParagraph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Participants were recruited through convenience sampling and completed the survey online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through Wenjuanxing. A total of 79 responses were collected. Ten responses failed the Q42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attention-check item, and three attention-check passers reported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“</w:t>
      </w:r>
      <w:r>
        <w:rPr>
          <w:rFonts w:ascii="Times New Roman" w:hAnsi="Times New Roman" w:eastAsia="Times New Roman"/>
          <w:sz w:val="24"/>
        </w:rPr>
        <w:t xml:space="preserve">high school or below</w:t>
      </w:r>
      <w:r>
        <w:rPr>
          <w:rFonts w:ascii="Times New Roman" w:hAnsi="Times New Roman" w:eastAsia="Times New Roman"/>
          <w:sz w:val="24"/>
        </w:rPr>
        <w:t xml:space="preserve">”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as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their current education level. These responses were excluded from the main analysis so that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the analytic sample matched the study’s university-level focus. The final analytic sample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therefore included 66 valid university-level respondents.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Within this analytic sample, 26 respondents were first-year students, 14 were second-year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students, 10 were third-year students, and 16 were fourth-year-or-above students or recent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graduates. Most respondents used social media for at least one hour per day, and most had used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AI tools either daily or weekly.</w:t>
      </w:r>
    </w:p>
    <w:bookmarkEnd w:id="22"/>
    <w:bookmarkStart w:id="23" w:name="materials"/>
    <w:p>
      <w:pPr>
        <w:pStyle w:val="Heading3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Materials</w:t>
      </w:r>
    </w:p>
    <w:p>
      <w:pPr>
        <w:pStyle w:val="FirstParagraph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The survey used image-only materials. It contained eighteen visual items: nine AI-generated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images and nine real images. The materials covered both ordinary photorealistic images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screenshot-like visual evidence. The five categories were text-bearing visual artifacts,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portrait images, livestream commerce screenshots, food photographs, and virtual livestream or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VTuber interface images.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The 18 items were selected purposively rather than randomly. Because the study focused 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online visual credibility, the materials were chosen to cover five visual types that people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commonly encounter on digital platforms. The set was also balanced by source, with nine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AI-generated images and nine real images. Therefore, the materials should not be treated as a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statistically representative sample of all online images; they were designed to compare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responses across selected image categories. The participant-facing questionnaire did not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reveal whether a file was AI-generated or real.</w:t>
      </w:r>
    </w:p>
    <w:bookmarkEnd w:id="23"/>
    <w:bookmarkStart w:id="24" w:name="measures"/>
    <w:p>
      <w:pPr>
        <w:pStyle w:val="Heading3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Measures</w:t>
      </w:r>
    </w:p>
    <w:p>
      <w:pPr>
        <w:pStyle w:val="FirstParagraph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The survey included source-judgement items, trust-rating items, attitude items, one attention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check, and one optional open-ended question. For each image, participants first judged its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source on a five-point scale from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“</w:t>
      </w:r>
      <w:r>
        <w:rPr>
          <w:rFonts w:ascii="Times New Roman" w:hAnsi="Times New Roman" w:eastAsia="Times New Roman"/>
          <w:sz w:val="24"/>
        </w:rPr>
        <w:t xml:space="preserve">definitely real</w:t>
      </w:r>
      <w:r>
        <w:rPr>
          <w:rFonts w:ascii="Times New Roman" w:hAnsi="Times New Roman" w:eastAsia="Times New Roman"/>
          <w:sz w:val="24"/>
        </w:rPr>
        <w:t xml:space="preserve">”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to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“</w:t>
      </w:r>
      <w:r>
        <w:rPr>
          <w:rFonts w:ascii="Times New Roman" w:hAnsi="Times New Roman" w:eastAsia="Times New Roman"/>
          <w:sz w:val="24"/>
        </w:rPr>
        <w:t xml:space="preserve">definitely AI-generated.</w:t>
      </w:r>
      <w:r>
        <w:rPr>
          <w:rFonts w:ascii="Times New Roman" w:hAnsi="Times New Roman" w:eastAsia="Times New Roman"/>
          <w:sz w:val="24"/>
        </w:rPr>
        <w:t xml:space="preserve">”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They then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rated how trustworthy the same image would seem if it appeared on social media or another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online platform.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Detection accuracy was calculated as the proportion of correctly classified source-judgement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items. For binary accuracy scoring,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“</w:t>
      </w:r>
      <w:r>
        <w:rPr>
          <w:rFonts w:ascii="Times New Roman" w:hAnsi="Times New Roman" w:eastAsia="Times New Roman"/>
          <w:sz w:val="24"/>
        </w:rPr>
        <w:t xml:space="preserve">definitely real</w:t>
      </w:r>
      <w:r>
        <w:rPr>
          <w:rFonts w:ascii="Times New Roman" w:hAnsi="Times New Roman" w:eastAsia="Times New Roman"/>
          <w:sz w:val="24"/>
        </w:rPr>
        <w:t xml:space="preserve">”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“</w:t>
      </w:r>
      <w:r>
        <w:rPr>
          <w:rFonts w:ascii="Times New Roman" w:hAnsi="Times New Roman" w:eastAsia="Times New Roman"/>
          <w:sz w:val="24"/>
        </w:rPr>
        <w:t xml:space="preserve">probably real</w:t>
      </w:r>
      <w:r>
        <w:rPr>
          <w:rFonts w:ascii="Times New Roman" w:hAnsi="Times New Roman" w:eastAsia="Times New Roman"/>
          <w:sz w:val="24"/>
        </w:rPr>
        <w:t xml:space="preserve">”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were counted as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correct for real images, while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“</w:t>
      </w:r>
      <w:r>
        <w:rPr>
          <w:rFonts w:ascii="Times New Roman" w:hAnsi="Times New Roman" w:eastAsia="Times New Roman"/>
          <w:sz w:val="24"/>
        </w:rPr>
        <w:t xml:space="preserve">probably AI-generated</w:t>
      </w:r>
      <w:r>
        <w:rPr>
          <w:rFonts w:ascii="Times New Roman" w:hAnsi="Times New Roman" w:eastAsia="Times New Roman"/>
          <w:sz w:val="24"/>
        </w:rPr>
        <w:t xml:space="preserve">”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“</w:t>
      </w:r>
      <w:r>
        <w:rPr>
          <w:rFonts w:ascii="Times New Roman" w:hAnsi="Times New Roman" w:eastAsia="Times New Roman"/>
          <w:sz w:val="24"/>
        </w:rPr>
        <w:t xml:space="preserve">definitely AI-generated</w:t>
      </w:r>
      <w:r>
        <w:rPr>
          <w:rFonts w:ascii="Times New Roman" w:hAnsi="Times New Roman" w:eastAsia="Times New Roman"/>
          <w:sz w:val="24"/>
        </w:rPr>
        <w:t xml:space="preserve">”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were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counted as correct for AI-generated images.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“</w:t>
      </w:r>
      <w:r>
        <w:rPr>
          <w:rFonts w:ascii="Times New Roman" w:hAnsi="Times New Roman" w:eastAsia="Times New Roman"/>
          <w:sz w:val="24"/>
        </w:rPr>
        <w:t xml:space="preserve">Unsure</w:t>
      </w:r>
      <w:r>
        <w:rPr>
          <w:rFonts w:ascii="Times New Roman" w:hAnsi="Times New Roman" w:eastAsia="Times New Roman"/>
          <w:sz w:val="24"/>
        </w:rPr>
        <w:t xml:space="preserve">”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was treated as incorrect for the main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accuracy score. Trust was measured through one five-point rating for each image.</w:t>
      </w:r>
    </w:p>
    <w:bookmarkEnd w:id="24"/>
    <w:bookmarkStart w:id="25" w:name="procedures"/>
    <w:p>
      <w:pPr>
        <w:pStyle w:val="Heading3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Procedures</w:t>
      </w:r>
    </w:p>
    <w:p>
      <w:pPr>
        <w:pStyle w:val="FirstParagraph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The survey had three sections. First, to describe the sample and control for relevant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background differences, participants reported their year of study, daily social media use, AI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tool use, and self-assessed ability to identify AI-generated or edited online images. Second,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to measure source judgement before credibility judgement, participants completed the image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task in two steps for each visual item. They first judged whether the image was real or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AI-generated, and after that they rated how trustworthy the same image would seem if it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appeared on social media or another online platform. Third, after finishing all image tasks,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participants answered four media-trust attitude questions, one Q42 attention-check item,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one optional open-ended question about the cues they used.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No feedback was given during the task so that later answers would not be influenced by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earlier corrections. Because the study compared responses across visual categories, the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Wenjuanxing version grouped materials of the same type together. During analysis, responses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that failed Q42 were flagged and excluded before detection accuracy and trust scores were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calculated.</w:t>
      </w:r>
    </w:p>
    <w:bookmarkEnd w:id="25"/>
    <w:bookmarkEnd w:id="26"/>
    <w:bookmarkStart w:id="28" w:name="results"/>
    <w:p>
      <w:pPr>
        <w:pStyle w:val="Heading2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Results</w:t>
      </w:r>
    </w:p>
    <w:p>
      <w:pPr>
        <w:pStyle w:val="FirstParagraph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The Wenjuanxing survey collected 79 responses. Of these, 69 responses passed the Q42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attention-check item, giving an attention-check pass rate of 87.3%. After excluding three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attention-check passers who were outside the university-level target group, the final analytic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sample included 66 valid responses.</w:t>
      </w:r>
    </w:p>
    <w:p>
      <w:pPr>
        <w:pStyle w:val="BodyText"/>
        <w:spacing w:line="480" w:lineRule="auto" w:before="0" w:after="0"/>
      </w:pPr>
      <w:r>
        <w:rPr>
          <w:bCs/>
          <w:rFonts w:ascii="Times New Roman" w:hAnsi="Times New Roman" w:eastAsia="Times New Roman"/>
          <w:b/>
          <w:sz w:val="24"/>
        </w:rPr>
        <w:t xml:space="preserve">Table 1. Sample screening and final analytic sample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spacing w:line="48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 xml:space="preserve">Screening step</w:t>
            </w:r>
          </w:p>
        </w:tc>
        <w:tc>
          <w:p>
            <w:pPr>
              <w:pStyle w:val="Compact"/>
              <w:spacing w:line="480" w:lineRule="auto" w:before="0" w:after="0"/>
              <w:jc w:val="right"/>
            </w:pPr>
            <w:r>
              <w:rPr>
                <w:rFonts w:ascii="Times New Roman" w:hAnsi="Times New Roman" w:eastAsia="Times New Roman"/>
                <w:sz w:val="24"/>
              </w:rPr>
              <w:t xml:space="preserve">Responses</w:t>
            </w:r>
          </w:p>
        </w:tc>
      </w:tr>
      <w:tr>
        <w:tc>
          <w:p>
            <w:pPr>
              <w:pStyle w:val="Compact"/>
              <w:spacing w:line="48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 xml:space="preserve">Submitted responses</w:t>
            </w:r>
          </w:p>
        </w:tc>
        <w:tc>
          <w:p>
            <w:pPr>
              <w:pStyle w:val="Compact"/>
              <w:spacing w:line="480" w:lineRule="auto" w:before="0" w:after="0"/>
              <w:jc w:val="right"/>
            </w:pPr>
            <w:r>
              <w:rPr>
                <w:rFonts w:ascii="Times New Roman" w:hAnsi="Times New Roman" w:eastAsia="Times New Roman"/>
                <w:sz w:val="24"/>
              </w:rPr>
              <w:t xml:space="preserve">79</w:t>
            </w:r>
          </w:p>
        </w:tc>
      </w:tr>
      <w:tr>
        <w:tc>
          <w:p>
            <w:pPr>
              <w:pStyle w:val="Compact"/>
              <w:spacing w:line="48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 xml:space="preserve">Passed Q42 attention check</w:t>
            </w:r>
          </w:p>
        </w:tc>
        <w:tc>
          <w:p>
            <w:pPr>
              <w:pStyle w:val="Compact"/>
              <w:spacing w:line="480" w:lineRule="auto" w:before="0" w:after="0"/>
              <w:jc w:val="right"/>
            </w:pPr>
            <w:r>
              <w:rPr>
                <w:rFonts w:ascii="Times New Roman" w:hAnsi="Times New Roman" w:eastAsia="Times New Roman"/>
                <w:sz w:val="24"/>
              </w:rPr>
              <w:t xml:space="preserve">69</w:t>
            </w:r>
          </w:p>
        </w:tc>
      </w:tr>
      <w:tr>
        <w:tc>
          <w:p>
            <w:pPr>
              <w:pStyle w:val="Compact"/>
              <w:spacing w:line="48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 xml:space="preserve">Excluded for non-university-level education</w:t>
            </w:r>
          </w:p>
        </w:tc>
        <w:tc>
          <w:p>
            <w:pPr>
              <w:pStyle w:val="Compact"/>
              <w:spacing w:line="480" w:lineRule="auto" w:before="0" w:after="0"/>
              <w:jc w:val="right"/>
            </w:pPr>
            <w:r>
              <w:rPr>
                <w:rFonts w:ascii="Times New Roman" w:hAnsi="Times New Roman" w:eastAsia="Times New Roman"/>
                <w:sz w:val="24"/>
              </w:rPr>
              <w:t xml:space="preserve">3</w:t>
            </w:r>
          </w:p>
        </w:tc>
      </w:tr>
      <w:tr>
        <w:tc>
          <w:p>
            <w:pPr>
              <w:pStyle w:val="Compact"/>
              <w:spacing w:line="48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 xml:space="preserve">Final analytic sample</w:t>
            </w:r>
          </w:p>
        </w:tc>
        <w:tc>
          <w:p>
            <w:pPr>
              <w:pStyle w:val="Compact"/>
              <w:spacing w:line="480" w:lineRule="auto" w:before="0" w:after="0"/>
              <w:jc w:val="right"/>
            </w:pPr>
            <w:r>
              <w:rPr>
                <w:rFonts w:ascii="Times New Roman" w:hAnsi="Times New Roman" w:eastAsia="Times New Roman"/>
                <w:sz w:val="24"/>
              </w:rPr>
              <w:t xml:space="preserve">66</w:t>
            </w:r>
          </w:p>
        </w:tc>
      </w:tr>
    </w:tbl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Across all 18 image source-judgement items, the mean detection accuracy was 47.4%. Accuracy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was higher for AI-generated images (52.9%) than for real images or screenshots (41.9%).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This means that respondents were not simply accepting all images as real; many real images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were also treated with suspicion and misclassified as AI-generated.</w:t>
      </w:r>
    </w:p>
    <w:p>
      <w:pPr>
        <w:pStyle w:val="BodyText"/>
        <w:spacing w:line="480" w:lineRule="auto" w:before="0" w:after="0"/>
      </w:pPr>
      <w:r>
        <w:rPr>
          <w:bCs/>
          <w:rFonts w:ascii="Times New Roman" w:hAnsi="Times New Roman" w:eastAsia="Times New Roman"/>
          <w:b/>
          <w:sz w:val="24"/>
        </w:rPr>
        <w:t xml:space="preserve">Table 2. Source-judgement accuracy by visual category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spacing w:line="48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 xml:space="preserve">Image category</w:t>
            </w:r>
          </w:p>
        </w:tc>
        <w:tc>
          <w:p>
            <w:pPr>
              <w:pStyle w:val="Compact"/>
              <w:spacing w:line="480" w:lineRule="auto" w:before="0" w:after="0"/>
              <w:jc w:val="right"/>
            </w:pPr>
            <w:r>
              <w:rPr>
                <w:rFonts w:ascii="Times New Roman" w:hAnsi="Times New Roman" w:eastAsia="Times New Roman"/>
                <w:sz w:val="24"/>
              </w:rPr>
              <w:t xml:space="preserve">Accuracy</w:t>
            </w:r>
          </w:p>
        </w:tc>
      </w:tr>
      <w:tr>
        <w:tc>
          <w:p>
            <w:pPr>
              <w:pStyle w:val="Compact"/>
              <w:spacing w:line="48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 xml:space="preserve">Livestream commerce screenshots</w:t>
            </w:r>
          </w:p>
        </w:tc>
        <w:tc>
          <w:p>
            <w:pPr>
              <w:pStyle w:val="Compact"/>
              <w:spacing w:line="480" w:lineRule="auto" w:before="0" w:after="0"/>
              <w:jc w:val="right"/>
            </w:pPr>
            <w:r>
              <w:rPr>
                <w:rFonts w:ascii="Times New Roman" w:hAnsi="Times New Roman" w:eastAsia="Times New Roman"/>
                <w:sz w:val="24"/>
              </w:rPr>
              <w:t xml:space="preserve">58.3%</w:t>
            </w:r>
          </w:p>
        </w:tc>
      </w:tr>
      <w:tr>
        <w:tc>
          <w:p>
            <w:pPr>
              <w:pStyle w:val="Compact"/>
              <w:spacing w:line="48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 xml:space="preserve">Text-bearing visual artifacts</w:t>
            </w:r>
          </w:p>
        </w:tc>
        <w:tc>
          <w:p>
            <w:pPr>
              <w:pStyle w:val="Compact"/>
              <w:spacing w:line="480" w:lineRule="auto" w:before="0" w:after="0"/>
              <w:jc w:val="right"/>
            </w:pPr>
            <w:r>
              <w:rPr>
                <w:rFonts w:ascii="Times New Roman" w:hAnsi="Times New Roman" w:eastAsia="Times New Roman"/>
                <w:sz w:val="24"/>
              </w:rPr>
              <w:t xml:space="preserve">56.8%</w:t>
            </w:r>
          </w:p>
        </w:tc>
      </w:tr>
      <w:tr>
        <w:tc>
          <w:p>
            <w:pPr>
              <w:pStyle w:val="Compact"/>
              <w:spacing w:line="48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 xml:space="preserve">Virtual livestream interfaces</w:t>
            </w:r>
          </w:p>
        </w:tc>
        <w:tc>
          <w:p>
            <w:pPr>
              <w:pStyle w:val="Compact"/>
              <w:spacing w:line="480" w:lineRule="auto" w:before="0" w:after="0"/>
              <w:jc w:val="right"/>
            </w:pPr>
            <w:r>
              <w:rPr>
                <w:rFonts w:ascii="Times New Roman" w:hAnsi="Times New Roman" w:eastAsia="Times New Roman"/>
                <w:sz w:val="24"/>
              </w:rPr>
              <w:t xml:space="preserve">54.5%</w:t>
            </w:r>
          </w:p>
        </w:tc>
      </w:tr>
      <w:tr>
        <w:tc>
          <w:p>
            <w:pPr>
              <w:pStyle w:val="Compact"/>
              <w:spacing w:line="48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 xml:space="preserve">Portrait images</w:t>
            </w:r>
          </w:p>
        </w:tc>
        <w:tc>
          <w:p>
            <w:pPr>
              <w:pStyle w:val="Compact"/>
              <w:spacing w:line="480" w:lineRule="auto" w:before="0" w:after="0"/>
              <w:jc w:val="right"/>
            </w:pPr>
            <w:r>
              <w:rPr>
                <w:rFonts w:ascii="Times New Roman" w:hAnsi="Times New Roman" w:eastAsia="Times New Roman"/>
                <w:sz w:val="24"/>
              </w:rPr>
              <w:t xml:space="preserve">39.8%</w:t>
            </w:r>
          </w:p>
        </w:tc>
      </w:tr>
      <w:tr>
        <w:tc>
          <w:p>
            <w:pPr>
              <w:pStyle w:val="Compact"/>
              <w:spacing w:line="48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 xml:space="preserve">Food photographs</w:t>
            </w:r>
          </w:p>
        </w:tc>
        <w:tc>
          <w:p>
            <w:pPr>
              <w:pStyle w:val="Compact"/>
              <w:spacing w:line="480" w:lineRule="auto" w:before="0" w:after="0"/>
              <w:jc w:val="right"/>
            </w:pPr>
            <w:r>
              <w:rPr>
                <w:rFonts w:ascii="Times New Roman" w:hAnsi="Times New Roman" w:eastAsia="Times New Roman"/>
                <w:sz w:val="24"/>
              </w:rPr>
              <w:t xml:space="preserve">31.1%</w:t>
            </w:r>
          </w:p>
        </w:tc>
      </w:tr>
    </w:tbl>
    <w:p>
      <w:pPr>
        <w:pStyle w:val="CaptionedFigure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drawing>
          <wp:inline>
            <wp:extent cx="5334000" cy="3076664"/>
            <wp:effectExtent b="0" l="0" r="0" t="0"/>
            <wp:docPr descr="Figure 1. Source-judgement accuracy by visual category." title="" id="1" name="Picture"/>
            <a:graphic>
              <a:graphicData uri="http://schemas.openxmlformats.org/drawingml/2006/picture">
                <pic:pic>
                  <pic:nvPicPr>
                    <pic:cNvPr descr="accuracy_by_categor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6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Figure 1. Source-judgement accuracy by visual category.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Trust ratings were measured on a five-point scale from 1 (</w:t>
      </w:r>
      <w:r>
        <w:rPr>
          <w:rFonts w:ascii="Times New Roman" w:hAnsi="Times New Roman" w:eastAsia="Times New Roman"/>
          <w:sz w:val="24"/>
        </w:rPr>
        <w:t xml:space="preserve">“</w:t>
      </w:r>
      <w:r>
        <w:rPr>
          <w:rFonts w:ascii="Times New Roman" w:hAnsi="Times New Roman" w:eastAsia="Times New Roman"/>
          <w:sz w:val="24"/>
        </w:rPr>
        <w:t xml:space="preserve">not trustworthy at all</w:t>
      </w:r>
      <w:r>
        <w:rPr>
          <w:rFonts w:ascii="Times New Roman" w:hAnsi="Times New Roman" w:eastAsia="Times New Roman"/>
          <w:sz w:val="24"/>
        </w:rPr>
        <w:t xml:space="preserve">”</w:t>
      </w:r>
      <w:r>
        <w:rPr>
          <w:rFonts w:ascii="Times New Roman" w:hAnsi="Times New Roman" w:eastAsia="Times New Roman"/>
          <w:sz w:val="24"/>
        </w:rPr>
        <w:t xml:space="preserve">) to 5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(</w:t>
      </w:r>
      <w:r>
        <w:rPr>
          <w:rFonts w:ascii="Times New Roman" w:hAnsi="Times New Roman" w:eastAsia="Times New Roman"/>
          <w:sz w:val="24"/>
        </w:rPr>
        <w:t xml:space="preserve">“</w:t>
      </w:r>
      <w:r>
        <w:rPr>
          <w:rFonts w:ascii="Times New Roman" w:hAnsi="Times New Roman" w:eastAsia="Times New Roman"/>
          <w:sz w:val="24"/>
        </w:rPr>
        <w:t xml:space="preserve">very trustworthy</w:t>
      </w:r>
      <w:r>
        <w:rPr>
          <w:rFonts w:ascii="Times New Roman" w:hAnsi="Times New Roman" w:eastAsia="Times New Roman"/>
          <w:sz w:val="24"/>
        </w:rPr>
        <w:t xml:space="preserve">”</w:t>
      </w:r>
      <w:r>
        <w:rPr>
          <w:rFonts w:ascii="Times New Roman" w:hAnsi="Times New Roman" w:eastAsia="Times New Roman"/>
          <w:sz w:val="24"/>
        </w:rPr>
        <w:t xml:space="preserve">). Real images received a slightly higher mean trust rating (M = 2.99)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than AI-generated images (M = 2.70), but the difference was modest. By category, portrait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images received the highest average trust rating (M = 3.14), followed by text-bearing visual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artifacts (M = 2.98), virtual livestream interfaces (M = 2.73), livestream commerce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screenshots (M = 2.70), and food photographs (M = 2.62).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The attitude items showed a cautious pattern of media trust. Respondents generally did not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agree that online images and screenshots usually reflect reality (M = 2.39). At the same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time, many respondents agreed that platform elements such as interfaces, comments, or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livestream features can make screenshots more believable. Most respondents also reported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verification habits: 42 out of 66 agreed or strongly agreed that they would look for sources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or context when seeing realistic online images or screenshots.</w:t>
      </w:r>
    </w:p>
    <w:bookmarkEnd w:id="28"/>
    <w:bookmarkStart w:id="32" w:name="discussion"/>
    <w:p>
      <w:pPr>
        <w:pStyle w:val="Heading2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Discussion</w:t>
      </w:r>
    </w:p>
    <w:bookmarkStart w:id="29" w:name="summary-of-findings"/>
    <w:p>
      <w:pPr>
        <w:pStyle w:val="Heading3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Summary of Findings</w:t>
      </w:r>
    </w:p>
    <w:p>
      <w:pPr>
        <w:pStyle w:val="FirstParagraph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This study examined how university-level respondents judged AI-generated and real online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visual materials. The main finding is that source judgement was unstable. Across 18 image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items, the overall source-judgement accuracy was 47.4%, which means that respondents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classified fewer than half of the images correctly. Accuracy was higher for AI-generated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images (52.9%) than for real images and screenshots (41.9%). This pattern suggests that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respondents were not only fooled by AI-generated images; they also became suspicious of real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images.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The category-level results show the same problem from another angle. Livestream commerce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screenshots had the highest accuracy (58.3%), followed by text-bearing visual artifacts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(56.8%) and virtual livestream interfaces (54.5%). Portrait images had lower accuracy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(39.8%), and food photographs had the lowest accuracy (31.1%). Trust ratings were also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moderate rather than high. Real images received a slightly higher mean trust rating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(M = 2.99) than AI-generated images (M = 2.70), but the difference was small. These findings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suggest that visual authenticity is becoming difficult to judge, especially when real images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look polished or artificial.</w:t>
      </w:r>
    </w:p>
    <w:bookmarkEnd w:id="29"/>
    <w:bookmarkStart w:id="30" w:name="comparison-with-previous-studies"/>
    <w:p>
      <w:pPr>
        <w:pStyle w:val="Heading3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Comparison with Previous Studies</w:t>
      </w:r>
    </w:p>
    <w:p>
      <w:pPr>
        <w:pStyle w:val="FirstParagraph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The local survey results are consistent with previous research on AI-generated media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detection. Frank et al. (2024) and Roca et al. (2025) both show that people often have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difficulty distinguishing AI-generated media from real or human-created media. The current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survey found a similar pattern: the overall accuracy was close to chance level, even though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many respondents reported frequent exposure to AI tools. This supports the idea that general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familiarity with AI does not automatically lead to reliable detection ability.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The findings also connect with research on trust and misinformation. Guo et al. (2025) argue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that realistic AI-synthesized images can make false information more persuasive when the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images appear to provide evidence for a claim. In this study, AI-generated images did not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receive very high trust ratings overall, but they were sometimes trusted at levels close to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real images. This matters because even moderate trust in synthetic images may be enough to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make online claims seem more credible.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Finally, the findings relate to Inwood and Zappavigna’s (2024) argument that screenshots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often function as visual evidence in online communication. The attitude results in this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survey support that point: many respondents agreed that platform elements such as interfaces,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comments, and livestream features can make screenshots more believable. Therefore, the risk of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AI-generated screenshots is not only that they may be hard to detect. Their platform-like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details can also make them look socially and contextually credible.</w:t>
      </w:r>
    </w:p>
    <w:bookmarkEnd w:id="30"/>
    <w:bookmarkStart w:id="31" w:name="possible-reasons"/>
    <w:p>
      <w:pPr>
        <w:pStyle w:val="Heading3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Possible Reasons</w:t>
      </w:r>
    </w:p>
    <w:p>
      <w:pPr>
        <w:pStyle w:val="FirstParagraph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One possible reason for the low overall accuracy is that respondents may have used surface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visual cues too heavily. Some real food photographs and portraits looked polished, staged, or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digitally processed, so respondents may have assumed that they were AI-generated. This helps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explain why real images had lower accuracy than AI-generated images. The spread of synthetic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images may lead users to over-doubt real images, especially when those images look too clean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or visually perfect.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A second reason is that the materials were selected purposively. The 18 images were chosen to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represent common online visual categories, including text-bearing images, portraits,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livestream commerce screenshots, food photographs, and virtual livestream interfaces. Because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the set was not a random sample of all online images, the results should not be generalized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too broadly. However, this purposive design was useful for comparing how respondents reacted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to different types of online visual evidence.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A third reason is that screenshot-like materials provide contextual cues. Elements such as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platform layout, comments, prices, usernames, or livestream interfaces can make an image feel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less like a standalone picture and more like a record of an online event. These cues may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increase perceived credibility even when viewers are unsure about the image source. For this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reason, AI-generated visual misinformation should be understood not only as a problem of fake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photographs, but also as a problem of fake visual context.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Overall, the study suggests that ordinary visual judgement is not enough for evaluating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AI-generated online images. Respondents showed limited accuracy, moderate trust, and some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uncertainty about both real and AI-generated materials. As image-generation tools become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better at producing realistic images, readable text, and interface-like screenshots, users may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need clearer platform labels, stronger verification habits, and better media literacy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training.</w:t>
      </w:r>
    </w:p>
    <w:bookmarkEnd w:id="31"/>
    <w:bookmarkEnd w:id="32"/>
    <w:bookmarkStart w:id="33" w:name="references"/>
    <w:p>
      <w:pPr>
        <w:pStyle w:val="Heading2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References</w:t>
      </w:r>
    </w:p>
    <w:p>
      <w:pPr>
        <w:pStyle w:val="FirstParagraph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DiResta, R., &amp; Goldstein, J. A. (2024). How spammers and scammers leverage AI-generated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images on Facebook for audience growth.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iCs/>
          <w:rFonts w:ascii="Times New Roman" w:hAnsi="Times New Roman" w:eastAsia="Times New Roman"/>
          <w:i/>
          <w:sz w:val="24"/>
        </w:rPr>
        <w:t xml:space="preserve">Harvard Kennedy School Misinformation Review.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https://doi.org/10.37016/mr-2020-151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Frank, J., Herbert, F., Ricker, J., Schönherr, L., Eisenhofer, T., Fischer, A.,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Dürmuth, M., &amp; Holz, T. (2024). A representative study on human detection of artificially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generated media across countries.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iCs/>
          <w:rFonts w:ascii="Times New Roman" w:hAnsi="Times New Roman" w:eastAsia="Times New Roman"/>
          <w:i/>
          <w:sz w:val="24"/>
        </w:rPr>
        <w:t xml:space="preserve">Proceedings of the 45th IEEE Symposium on Security</w:t>
      </w:r>
      <w:r>
        <w:rPr>
          <w:iCs/>
          <w:rFonts w:ascii="Times New Roman" w:hAnsi="Times New Roman" w:eastAsia="Times New Roman"/>
          <w:i/>
          <w:sz w:val="24"/>
        </w:rPr>
        <w:t xml:space="preserve"> </w:t>
      </w:r>
      <w:r>
        <w:rPr>
          <w:iCs/>
          <w:rFonts w:ascii="Times New Roman" w:hAnsi="Times New Roman" w:eastAsia="Times New Roman"/>
          <w:i/>
          <w:sz w:val="24"/>
        </w:rPr>
        <w:t xml:space="preserve">and Privacy.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https://arxiv.org/abs/2312.05976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Guo, S., Zhong, Y., &amp; Hu, X. (2025). People are more susceptible to misinformation with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realistic AI-synthesized images that provide strong evidence to headlines.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iCs/>
          <w:rFonts w:ascii="Times New Roman" w:hAnsi="Times New Roman" w:eastAsia="Times New Roman"/>
          <w:i/>
          <w:sz w:val="24"/>
        </w:rPr>
        <w:t xml:space="preserve">Harvard Kennedy</w:t>
      </w:r>
      <w:r>
        <w:rPr>
          <w:iCs/>
          <w:rFonts w:ascii="Times New Roman" w:hAnsi="Times New Roman" w:eastAsia="Times New Roman"/>
          <w:i/>
          <w:sz w:val="24"/>
        </w:rPr>
        <w:t xml:space="preserve"> </w:t>
      </w:r>
      <w:r>
        <w:rPr>
          <w:iCs/>
          <w:rFonts w:ascii="Times New Roman" w:hAnsi="Times New Roman" w:eastAsia="Times New Roman"/>
          <w:i/>
          <w:sz w:val="24"/>
        </w:rPr>
        <w:t xml:space="preserve">School Misinformation Review.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https://doi.org/10.37016/mr-2020-189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Inwood, O., &amp; Zappavigna, M. (2024). The legitimation of screenshots as visual evidence in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social media: YouTube videos spreading misinformation and disinformation.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iCs/>
          <w:rFonts w:ascii="Times New Roman" w:hAnsi="Times New Roman" w:eastAsia="Times New Roman"/>
          <w:i/>
          <w:sz w:val="24"/>
        </w:rPr>
        <w:t xml:space="preserve">Visual</w:t>
      </w:r>
      <w:r>
        <w:rPr>
          <w:iCs/>
          <w:rFonts w:ascii="Times New Roman" w:hAnsi="Times New Roman" w:eastAsia="Times New Roman"/>
          <w:i/>
          <w:sz w:val="24"/>
        </w:rPr>
        <w:t xml:space="preserve"> </w:t>
      </w:r>
      <w:r>
        <w:rPr>
          <w:iCs/>
          <w:rFonts w:ascii="Times New Roman" w:hAnsi="Times New Roman" w:eastAsia="Times New Roman"/>
          <w:i/>
          <w:sz w:val="24"/>
        </w:rPr>
        <w:t xml:space="preserve">Communication.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https://doi.org/10.1177/14703572241255664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Metzger, M. J., &amp; Flanagin, A. J. (2013). Credibility and trust of information in online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environments: The use of cognitive heuristics.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iCs/>
          <w:rFonts w:ascii="Times New Roman" w:hAnsi="Times New Roman" w:eastAsia="Times New Roman"/>
          <w:i/>
          <w:sz w:val="24"/>
        </w:rPr>
        <w:t xml:space="preserve">Journal of Pragmatics, 59</w:t>
      </w:r>
      <w:r>
        <w:rPr>
          <w:rFonts w:ascii="Times New Roman" w:hAnsi="Times New Roman" w:eastAsia="Times New Roman"/>
          <w:sz w:val="24"/>
        </w:rPr>
        <w:t xml:space="preserve">, 210-220.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https://doi.org/10.1016/j.pragma.2013.07.012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Nightingale, S. J., &amp; Farid, H. (2022). AI-synthesized faces are indistinguishable from real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faces and more trustworthy.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iCs/>
          <w:rFonts w:ascii="Times New Roman" w:hAnsi="Times New Roman" w:eastAsia="Times New Roman"/>
          <w:i/>
          <w:sz w:val="24"/>
        </w:rPr>
        <w:t xml:space="preserve">Proceedings of the National Academy of Sciences, 119</w:t>
      </w:r>
      <w:r>
        <w:rPr>
          <w:rFonts w:ascii="Times New Roman" w:hAnsi="Times New Roman" w:eastAsia="Times New Roman"/>
          <w:sz w:val="24"/>
        </w:rPr>
        <w:t xml:space="preserve">(8),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e2120481119. https://doi.org/10.1073/pnas.2120481119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OpenAI. (2026a).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iCs/>
          <w:rFonts w:ascii="Times New Roman" w:hAnsi="Times New Roman" w:eastAsia="Times New Roman"/>
          <w:i/>
          <w:sz w:val="24"/>
        </w:rPr>
        <w:t xml:space="preserve">GPT Image 2 model.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OpenAI API.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https://developers.openai.com/api/docs/models/gpt-image-2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Pennycook, G., &amp; Rand, D. G. (2021). The psychology of fake news.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iCs/>
          <w:rFonts w:ascii="Times New Roman" w:hAnsi="Times New Roman" w:eastAsia="Times New Roman"/>
          <w:i/>
          <w:sz w:val="24"/>
        </w:rPr>
        <w:t xml:space="preserve">Trends in Cognitive</w:t>
      </w:r>
      <w:r>
        <w:rPr>
          <w:iCs/>
          <w:rFonts w:ascii="Times New Roman" w:hAnsi="Times New Roman" w:eastAsia="Times New Roman"/>
          <w:i/>
          <w:sz w:val="24"/>
        </w:rPr>
        <w:t xml:space="preserve"> </w:t>
      </w:r>
      <w:r>
        <w:rPr>
          <w:iCs/>
          <w:rFonts w:ascii="Times New Roman" w:hAnsi="Times New Roman" w:eastAsia="Times New Roman"/>
          <w:i/>
          <w:sz w:val="24"/>
        </w:rPr>
        <w:t xml:space="preserve">Sciences, 25</w:t>
      </w:r>
      <w:r>
        <w:rPr>
          <w:rFonts w:ascii="Times New Roman" w:hAnsi="Times New Roman" w:eastAsia="Times New Roman"/>
          <w:sz w:val="24"/>
        </w:rPr>
        <w:t xml:space="preserve">(5), 388-402. https://doi.org/10.1016/j.tics.2021.02.007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Roca, T., Cintron Roman, A., Torres Vega, J., Duarte, M., Wang, P., White, K., Misra, A.,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&amp; Lavista Ferres, J. (2025). How good are humans at detecting AI-generated images?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Learnings from an experiment.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iCs/>
          <w:rFonts w:ascii="Times New Roman" w:hAnsi="Times New Roman" w:eastAsia="Times New Roman"/>
          <w:i/>
          <w:sz w:val="24"/>
        </w:rPr>
        <w:t xml:space="preserve">arXiv preprint.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https://arxiv.org/abs/2507.18640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Vaccari, C., &amp; Chadwick, A. (2020). Deepfakes and disinformation: Exploring the impact of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synthetic political video on deception, uncertainty, and trust in news.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iCs/>
          <w:rFonts w:ascii="Times New Roman" w:hAnsi="Times New Roman" w:eastAsia="Times New Roman"/>
          <w:i/>
          <w:sz w:val="24"/>
        </w:rPr>
        <w:t xml:space="preserve">Social Media +</w:t>
      </w:r>
      <w:r>
        <w:rPr>
          <w:iCs/>
          <w:rFonts w:ascii="Times New Roman" w:hAnsi="Times New Roman" w:eastAsia="Times New Roman"/>
          <w:i/>
          <w:sz w:val="24"/>
        </w:rPr>
        <w:t xml:space="preserve"> </w:t>
      </w:r>
      <w:r>
        <w:rPr>
          <w:iCs/>
          <w:rFonts w:ascii="Times New Roman" w:hAnsi="Times New Roman" w:eastAsia="Times New Roman"/>
          <w:i/>
          <w:sz w:val="24"/>
        </w:rPr>
        <w:t xml:space="preserve">Society, 6</w:t>
      </w:r>
      <w:r>
        <w:rPr>
          <w:rFonts w:ascii="Times New Roman" w:hAnsi="Times New Roman" w:eastAsia="Times New Roman"/>
          <w:sz w:val="24"/>
        </w:rPr>
        <w:t xml:space="preserve">(1). https://doi.org/10.1177/2056305120903408</w:t>
      </w:r>
    </w:p>
    <w:bookmarkEnd w:id="33"/>
    <w:bookmarkEnd w:id="34"/>
    <w:sect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480" w:lineRule="auto" w:before="0" w:after="0"/>
    </w:pPr>
    <w:rPr>
      <w:rFonts w:ascii="Times New Roman" w:hAnsi="Times New Roman" w:eastAsia="Times New Roman"/>
      <w:sz w:val="24"/>
    </w:rPr>
  </w:style>
  <w:style w:styleId="BodyText" w:type="paragraph">
    <w:name w:val="Body Text"/>
    <w:basedOn w:val="Normal"/>
    <w:link w:val="BodyTextChar"/>
    <w:pPr>
      <w:spacing w:after="0" w:before="0" w:line="480" w:lineRule="auto"/>
    </w:pPr>
    <w:qFormat/>
    <w:rPr>
      <w:rFonts w:ascii="Times New Roman" w:hAnsi="Times New Roman" w:eastAsia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480" w:lineRule="auto" w:before="0" w:after="0"/>
    </w:pPr>
    <w:rPr>
      <w:rFonts w:ascii="Times New Roman" w:hAnsi="Times New Roman" w:eastAsia="Times New Roman"/>
      <w:sz w:val="24"/>
    </w:rPr>
  </w:style>
  <w:style w:customStyle="1" w:styleId="Compact" w:type="paragraph">
    <w:name w:val="Compact"/>
    <w:basedOn w:val="BodyText"/>
    <w:qFormat/>
    <w:pPr>
      <w:spacing w:after="0" w:before="0" w:line="480" w:lineRule="auto"/>
    </w:pPr>
    <w:rPr>
      <w:rFonts w:ascii="Times New Roman" w:hAnsi="Times New Roman" w:eastAsia="Times New Roman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0" w:before="0" w:line="480" w:lineRule="auto"/>
      <w:jc w:val="center"/>
    </w:pPr>
    <w:rPr>
      <w:rFonts w:asciiTheme="majorHAnsi" w:cstheme="majorBidi" w:eastAsiaTheme="majorEastAsia" w:hAnsiTheme="majorHAnsi" w:ascii="Times New Roman" w:hAnsi="Times New Roman" w:eastAsia="Times New Roman"/>
      <w:b/>
      <w:bCs/>
      <w:color w:themeColor="accent1" w:themeShade="B5" w:val="345A8A"/>
      <w:sz w:val="2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0" w:before="0" w:line="480" w:lineRule="auto"/>
      <w:jc w:val="center"/>
    </w:pPr>
    <w:rPr>
      <w:rFonts w:ascii="Times New Roman" w:hAnsi="Times New Roman" w:eastAsia="Times New Roman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spacing w:line="480" w:lineRule="auto" w:before="0" w:after="0"/>
      <w:jc w:val="center"/>
    </w:pPr>
    <w:rPr>
      <w:rFonts w:ascii="Times New Roman" w:hAnsi="Times New Roman" w:eastAsia="Times New Roman"/>
      <w:sz w:val="24"/>
    </w:rPr>
  </w:style>
  <w:style w:styleId="Date" w:type="paragraph">
    <w:name w:val="Date"/>
    <w:next w:val="BodyText"/>
    <w:qFormat/>
    <w:pPr>
      <w:keepNext/>
      <w:keepLines/>
      <w:spacing w:line="480" w:lineRule="auto" w:before="0" w:after="0"/>
      <w:jc w:val="center"/>
    </w:pPr>
    <w:rPr>
      <w:rFonts w:ascii="Times New Roman" w:hAnsi="Times New Roman" w:eastAsia="Times New Roman"/>
      <w:sz w:val="24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0" w:before="0" w:line="480" w:lineRule="auto"/>
    </w:pPr>
    <w:rPr>
      <w:rFonts w:ascii="Times New Roman" w:hAnsi="Times New Roman" w:eastAsia="Times New Roman"/>
      <w:sz w:val="24"/>
      <w:szCs w:val="20"/>
    </w:rPr>
  </w:style>
  <w:style w:styleId="Bibliography" w:type="paragraph">
    <w:name w:val="Bibliography"/>
    <w:basedOn w:val="Normal"/>
    <w:next w:val="Bibliography"/>
    <w:qFormat/>
    <w:pPr>
      <w:spacing w:line="480" w:lineRule="auto" w:before="0" w:after="0"/>
    </w:pPr>
    <w:rPr>
      <w:rFonts w:ascii="Times New Roman" w:hAnsi="Times New Roman" w:eastAsia="Times New Roman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0" w:line="480" w:lineRule="auto"/>
      <w:outlineLvl w:val="0"/>
    </w:pPr>
    <w:rPr>
      <w:rFonts w:asciiTheme="majorHAnsi" w:cstheme="majorBidi" w:eastAsiaTheme="majorEastAsia" w:hAnsiTheme="majorHAnsi" w:ascii="Times New Roman" w:hAnsi="Times New Roman" w:eastAsia="Times New Roman"/>
      <w:b/>
      <w:bCs/>
      <w:color w:themeColor="accent1" w:val="4F81BD"/>
      <w:sz w:val="2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0" w:line="480" w:lineRule="auto"/>
      <w:outlineLvl w:val="1"/>
    </w:pPr>
    <w:rPr>
      <w:rFonts w:asciiTheme="majorHAnsi" w:cstheme="majorBidi" w:eastAsiaTheme="majorEastAsia" w:hAnsiTheme="majorHAnsi" w:ascii="Times New Roman" w:hAnsi="Times New Roman" w:eastAsia="Times New Roman"/>
      <w:b/>
      <w:bCs/>
      <w:color w:themeColor="accent1" w:val="4F81BD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0" w:line="480" w:lineRule="auto"/>
      <w:outlineLvl w:val="2"/>
    </w:pPr>
    <w:rPr>
      <w:rFonts w:asciiTheme="majorHAnsi" w:cstheme="majorBidi" w:eastAsiaTheme="majorEastAsia" w:hAnsiTheme="majorHAnsi" w:ascii="Times New Roman" w:hAnsi="Times New Roman" w:eastAsia="Times New Roman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0" w:line="480" w:lineRule="auto"/>
      <w:outlineLvl w:val="3"/>
    </w:pPr>
    <w:rPr>
      <w:rFonts w:asciiTheme="majorHAnsi" w:cstheme="majorBidi" w:eastAsiaTheme="majorEastAsia" w:hAnsiTheme="majorHAnsi" w:ascii="Times New Roman" w:hAnsi="Times New Roman" w:eastAsia="Times New Roman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0" w:line="480" w:lineRule="auto"/>
      <w:outlineLvl w:val="4"/>
    </w:pPr>
    <w:rPr>
      <w:rFonts w:asciiTheme="majorHAnsi" w:cstheme="majorBidi" w:eastAsiaTheme="majorEastAsia" w:hAnsiTheme="majorHAnsi" w:ascii="Times New Roman" w:hAnsi="Times New Roman" w:eastAsia="Times New Roman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0" w:line="480" w:lineRule="auto"/>
      <w:outlineLvl w:val="5"/>
    </w:pPr>
    <w:rPr>
      <w:rFonts w:asciiTheme="majorHAnsi" w:cstheme="majorBidi" w:eastAsiaTheme="majorEastAsia" w:hAnsiTheme="majorHAnsi" w:ascii="Times New Roman" w:hAnsi="Times New Roman" w:eastAsia="Times New Roman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0" w:line="480" w:lineRule="auto"/>
      <w:outlineLvl w:val="6"/>
    </w:pPr>
    <w:rPr>
      <w:rFonts w:asciiTheme="majorHAnsi" w:cstheme="majorBidi" w:eastAsiaTheme="majorEastAsia" w:hAnsiTheme="majorHAnsi" w:ascii="Times New Roman" w:hAnsi="Times New Roman" w:eastAsia="Times New Roman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0" w:line="480" w:lineRule="auto"/>
      <w:outlineLvl w:val="7"/>
    </w:pPr>
    <w:rPr>
      <w:rFonts w:asciiTheme="majorHAnsi" w:cstheme="majorBidi" w:eastAsiaTheme="majorEastAsia" w:hAnsiTheme="majorHAnsi" w:ascii="Times New Roman" w:hAnsi="Times New Roman" w:eastAsia="Times New Roman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0" w:line="480" w:lineRule="auto"/>
      <w:outlineLvl w:val="8"/>
    </w:pPr>
    <w:rPr>
      <w:rFonts w:asciiTheme="majorHAnsi" w:cstheme="majorBidi" w:eastAsiaTheme="majorEastAsia" w:hAnsiTheme="majorHAnsi" w:ascii="Times New Roman" w:hAnsi="Times New Roman" w:eastAsia="Times New Roman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480" w:lineRule="auto"/>
      <w:ind w:firstLine="0" w:left="480" w:right="480"/>
    </w:pPr>
    <w:rPr>
      <w:rFonts w:ascii="Times New Roman" w:hAnsi="Times New Roman" w:eastAsia="Times New Roman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line="480" w:lineRule="auto" w:before="0" w:after="0"/>
    </w:pPr>
    <w:rPr>
      <w:rFonts w:ascii="Times New Roman" w:hAnsi="Times New Roman" w:eastAsia="Times New Roman"/>
      <w:sz w:val="24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Times New Roman"/>
      <w:sz w:val="24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line="480" w:lineRule="auto" w:before="0"/>
    </w:pPr>
    <w:rPr>
      <w:rFonts w:ascii="Times New Roman" w:hAnsi="Times New Roman" w:eastAsia="Times New Roman"/>
      <w:b/>
      <w:sz w:val="24"/>
    </w:rPr>
  </w:style>
  <w:style w:customStyle="1" w:styleId="Definition" w:type="paragraph">
    <w:name w:val="Definition"/>
    <w:basedOn w:val="Normal"/>
    <w:pPr>
      <w:spacing w:line="480" w:lineRule="auto" w:before="0" w:after="0"/>
    </w:pPr>
    <w:rPr>
      <w:rFonts w:ascii="Times New Roman" w:hAnsi="Times New Roman" w:eastAsia="Times New Roman"/>
      <w:sz w:val="24"/>
    </w:rPr>
  </w:style>
  <w:style w:styleId="Caption" w:type="paragraph">
    <w:name w:val="Caption"/>
    <w:basedOn w:val="Normal"/>
    <w:link w:val="BodyTextChar"/>
    <w:pPr>
      <w:spacing w:after="0" w:before="0" w:line="480" w:lineRule="auto"/>
    </w:pPr>
    <w:rPr>
      <w:rFonts w:ascii="Times New Roman" w:hAnsi="Times New Roman" w:eastAsia="Times New Roman"/>
      <w:i/>
      <w:sz w:val="24"/>
    </w:rPr>
  </w:style>
  <w:style w:customStyle="1" w:styleId="TableCaption" w:type="paragraph">
    <w:name w:val="Table Caption"/>
    <w:basedOn w:val="Caption"/>
    <w:pPr>
      <w:keepNext/>
      <w:spacing w:line="480" w:lineRule="auto" w:before="0" w:after="0"/>
    </w:pPr>
    <w:rPr>
      <w:rFonts w:ascii="Times New Roman" w:hAnsi="Times New Roman" w:eastAsia="Times New Roman"/>
      <w:sz w:val="24"/>
    </w:rPr>
  </w:style>
  <w:style w:customStyle="1" w:styleId="ImageCaption" w:type="paragraph">
    <w:name w:val="Image Caption"/>
    <w:basedOn w:val="Caption"/>
    <w:pPr>
      <w:spacing w:line="480" w:lineRule="auto" w:before="0" w:after="0"/>
    </w:pPr>
    <w:rPr>
      <w:rFonts w:ascii="Times New Roman" w:hAnsi="Times New Roman" w:eastAsia="Times New Roman"/>
      <w:sz w:val="24"/>
    </w:rPr>
  </w:style>
  <w:style w:customStyle="1" w:styleId="Figure" w:type="paragraph">
    <w:name w:val="Figure"/>
    <w:basedOn w:val="Normal"/>
    <w:pPr>
      <w:spacing w:line="480" w:lineRule="auto" w:before="0" w:after="0"/>
    </w:pPr>
    <w:rPr>
      <w:rFonts w:ascii="Times New Roman" w:hAnsi="Times New Roman" w:eastAsia="Times New Roman"/>
      <w:sz w:val="24"/>
    </w:rPr>
  </w:style>
  <w:style w:customStyle="1" w:styleId="CaptionedFigure" w:type="paragraph">
    <w:name w:val="Captioned Figure"/>
    <w:basedOn w:val="Figure"/>
    <w:pPr>
      <w:keepNext/>
      <w:spacing w:line="480" w:lineRule="auto" w:before="0" w:after="0"/>
    </w:pPr>
    <w:rPr>
      <w:rFonts w:ascii="Times New Roman" w:hAnsi="Times New Roman" w:eastAsia="Times New Roman"/>
      <w:sz w:val="24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Times New Roman"/>
      <w:sz w:val="24"/>
    </w:rPr>
  </w:style>
  <w:style w:customStyle="1" w:styleId="VerbatimChar" w:type="character">
    <w:name w:val="Verbatim Char"/>
    <w:basedOn w:val="BodyTextChar"/>
    <w:rPr>
      <w:rFonts w:ascii="Times New Roman" w:hAnsi="Times New Roman" w:eastAsia="Times New Roman"/>
      <w:sz w:val="24"/>
    </w:rPr>
  </w:style>
  <w:style w:customStyle="1" w:styleId="SectionNumber" w:type="character">
    <w:name w:val="Section Number"/>
    <w:basedOn w:val="BodyTextChar"/>
    <w:rPr>
      <w:rFonts w:ascii="Times New Roman" w:hAnsi="Times New Roman" w:eastAsia="Times New Roman"/>
      <w:sz w:val="24"/>
    </w:rPr>
  </w:style>
  <w:style w:styleId="FootnoteReference" w:type="character">
    <w:name w:val="Footnote Reference"/>
    <w:basedOn w:val="BodyTextChar"/>
    <w:rPr>
      <w:rFonts w:ascii="Times New Roman" w:hAnsi="Times New Roman" w:eastAsia="Times New Roman"/>
      <w:sz w:val="24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Times New Roman"/>
      <w:color w:themeColor="accent1" w:val="4F81BD"/>
      <w:sz w:val="2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0" w:line="480" w:lineRule="auto" w:after="0"/>
      <w:outlineLvl w:val="9"/>
    </w:pPr>
    <w:rPr>
      <w:rFonts w:asciiTheme="majorHAnsi" w:cstheme="majorBidi" w:eastAsiaTheme="majorEastAsia" w:hAnsiTheme="majorHAnsi" w:ascii="Times New Roman" w:hAnsi="Times New Roman" w:eastAsia="Times New Roman"/>
      <w:b w:val="0"/>
      <w:bCs w:val="0"/>
      <w:color w:themeColor="accent1" w:themeShade="BF" w:val="365F91"/>
      <w:sz w:val="24"/>
    </w:rPr>
  </w:style>
  <w:style w:type="paragraph" w:customStyle="1" w:styleId="SourceCode">
    <w:name w:val="Source Code"/>
    <w:basedOn w:val="Normal"/>
    <w:link w:val="VerbatimChar"/>
    <w:pPr>
      <w:wordWrap w:val="off"/>
      <w:spacing w:line="480" w:lineRule="auto" w:before="0" w:after="0"/>
    </w:pPr>
    <w:rPr>
      <w:rFonts w:ascii="Times New Roman" w:hAnsi="Times New Roman" w:eastAsia="Times New Roman"/>
      <w:sz w:val="24"/>
    </w:rPr>
  </w:style>
  <w:style w:type="character" w:customStyle="1" w:styleId="KeywordTok">
    <w:name w:val="KeywordTok"/>
    <w:basedOn w:val="VerbatimChar"/>
    <w:rPr>
      <w:color w:val="007020"/>
      <w:rFonts w:ascii="Times New Roman" w:hAnsi="Times New Roman" w:eastAsia="Times New Roman"/>
      <w:b/>
      <w:sz w:val="24"/>
    </w:rPr>
  </w:style>
  <w:style w:type="character" w:customStyle="1" w:styleId="DataTypeTok">
    <w:name w:val="DataTypeTok"/>
    <w:basedOn w:val="VerbatimChar"/>
    <w:rPr>
      <w:rFonts w:ascii="Times New Roman" w:hAnsi="Times New Roman" w:eastAsia="Times New Roman"/>
      <w:color w:val="902000"/>
      <w:sz w:val="24"/>
    </w:rPr>
  </w:style>
  <w:style w:type="character" w:customStyle="1" w:styleId="DecValTok">
    <w:name w:val="DecValTok"/>
    <w:basedOn w:val="VerbatimChar"/>
    <w:rPr>
      <w:rFonts w:ascii="Times New Roman" w:hAnsi="Times New Roman" w:eastAsia="Times New Roman"/>
      <w:color w:val="40a070"/>
      <w:sz w:val="24"/>
    </w:rPr>
  </w:style>
  <w:style w:type="character" w:customStyle="1" w:styleId="BaseNTok">
    <w:name w:val="BaseNTok"/>
    <w:basedOn w:val="VerbatimChar"/>
    <w:rPr>
      <w:rFonts w:ascii="Times New Roman" w:hAnsi="Times New Roman" w:eastAsia="Times New Roman"/>
      <w:color w:val="40a070"/>
      <w:sz w:val="24"/>
    </w:rPr>
  </w:style>
  <w:style w:type="character" w:customStyle="1" w:styleId="FloatTok">
    <w:name w:val="FloatTok"/>
    <w:basedOn w:val="VerbatimChar"/>
    <w:rPr>
      <w:rFonts w:ascii="Times New Roman" w:hAnsi="Times New Roman" w:eastAsia="Times New Roman"/>
      <w:color w:val="40a070"/>
      <w:sz w:val="24"/>
    </w:rPr>
  </w:style>
  <w:style w:type="character" w:customStyle="1" w:styleId="ConstantTok">
    <w:name w:val="ConstantTok"/>
    <w:basedOn w:val="VerbatimChar"/>
    <w:rPr>
      <w:rFonts w:ascii="Times New Roman" w:hAnsi="Times New Roman" w:eastAsia="Times New Roman"/>
      <w:color w:val="880000"/>
      <w:sz w:val="24"/>
    </w:rPr>
  </w:style>
  <w:style w:type="character" w:customStyle="1" w:styleId="CharTok">
    <w:name w:val="CharTok"/>
    <w:basedOn w:val="VerbatimChar"/>
    <w:rPr>
      <w:rFonts w:ascii="Times New Roman" w:hAnsi="Times New Roman" w:eastAsia="Times New Roman"/>
      <w:color w:val="4070a0"/>
      <w:sz w:val="24"/>
    </w:rPr>
  </w:style>
  <w:style w:type="character" w:customStyle="1" w:styleId="SpecialCharTok">
    <w:name w:val="SpecialCharTok"/>
    <w:basedOn w:val="VerbatimChar"/>
    <w:rPr>
      <w:rFonts w:ascii="Times New Roman" w:hAnsi="Times New Roman" w:eastAsia="Times New Roman"/>
      <w:color w:val="4070a0"/>
      <w:sz w:val="24"/>
    </w:rPr>
  </w:style>
  <w:style w:type="character" w:customStyle="1" w:styleId="StringTok">
    <w:name w:val="StringTok"/>
    <w:basedOn w:val="VerbatimChar"/>
    <w:rPr>
      <w:rFonts w:ascii="Times New Roman" w:hAnsi="Times New Roman" w:eastAsia="Times New Roman"/>
      <w:color w:val="4070a0"/>
      <w:sz w:val="24"/>
    </w:rPr>
  </w:style>
  <w:style w:type="character" w:customStyle="1" w:styleId="VerbatimStringTok">
    <w:name w:val="VerbatimStringTok"/>
    <w:basedOn w:val="VerbatimChar"/>
    <w:rPr>
      <w:rFonts w:ascii="Times New Roman" w:hAnsi="Times New Roman" w:eastAsia="Times New Roman"/>
      <w:color w:val="4070a0"/>
      <w:sz w:val="24"/>
    </w:rPr>
  </w:style>
  <w:style w:type="character" w:customStyle="1" w:styleId="SpecialStringTok">
    <w:name w:val="SpecialStringTok"/>
    <w:basedOn w:val="VerbatimChar"/>
    <w:rPr>
      <w:rFonts w:ascii="Times New Roman" w:hAnsi="Times New Roman" w:eastAsia="Times New Roman"/>
      <w:color w:val="bb6688"/>
      <w:sz w:val="24"/>
    </w:rPr>
  </w:style>
  <w:style w:type="character" w:customStyle="1" w:styleId="ImportTok">
    <w:name w:val="ImportTok"/>
    <w:basedOn w:val="VerbatimChar"/>
    <w:rPr>
      <w:rFonts w:ascii="Times New Roman" w:hAnsi="Times New Roman" w:eastAsia="Times New Roman"/>
      <w:sz w:val="24"/>
    </w:rPr>
  </w:style>
  <w:style w:type="character" w:customStyle="1" w:styleId="CommentTok">
    <w:name w:val="CommentTok"/>
    <w:basedOn w:val="VerbatimChar"/>
    <w:rPr>
      <w:color w:val="60a0b0"/>
      <w:rFonts w:ascii="Times New Roman" w:hAnsi="Times New Roman" w:eastAsia="Times New Roman"/>
      <w:i/>
      <w:sz w:val="24"/>
    </w:rPr>
  </w:style>
  <w:style w:type="character" w:customStyle="1" w:styleId="DocumentationTok">
    <w:name w:val="DocumentationTok"/>
    <w:basedOn w:val="VerbatimChar"/>
    <w:rPr>
      <w:color w:val="ba2121"/>
      <w:rFonts w:ascii="Times New Roman" w:hAnsi="Times New Roman" w:eastAsia="Times New Roman"/>
      <w:i/>
      <w:sz w:val="24"/>
    </w:rPr>
  </w:style>
  <w:style w:type="character" w:customStyle="1" w:styleId="AnnotationTok">
    <w:name w:val="AnnotationTok"/>
    <w:basedOn w:val="VerbatimChar"/>
    <w:rPr>
      <w:color w:val="60a0b0"/>
      <w:rFonts w:ascii="Times New Roman" w:hAnsi="Times New Roman" w:eastAsia="Times New Roman"/>
      <w:b/>
      <w:i/>
      <w:sz w:val="24"/>
    </w:rPr>
  </w:style>
  <w:style w:type="character" w:customStyle="1" w:styleId="CommentVarTok">
    <w:name w:val="CommentVarTok"/>
    <w:basedOn w:val="VerbatimChar"/>
    <w:rPr>
      <w:color w:val="60a0b0"/>
      <w:rFonts w:ascii="Times New Roman" w:hAnsi="Times New Roman" w:eastAsia="Times New Roman"/>
      <w:b/>
      <w:i/>
      <w:sz w:val="24"/>
    </w:rPr>
  </w:style>
  <w:style w:type="character" w:customStyle="1" w:styleId="OtherTok">
    <w:name w:val="OtherTok"/>
    <w:basedOn w:val="VerbatimChar"/>
    <w:rPr>
      <w:rFonts w:ascii="Times New Roman" w:hAnsi="Times New Roman" w:eastAsia="Times New Roman"/>
      <w:color w:val="007020"/>
      <w:sz w:val="24"/>
    </w:rPr>
  </w:style>
  <w:style w:type="character" w:customStyle="1" w:styleId="FunctionTok">
    <w:name w:val="FunctionTok"/>
    <w:basedOn w:val="VerbatimChar"/>
    <w:rPr>
      <w:rFonts w:ascii="Times New Roman" w:hAnsi="Times New Roman" w:eastAsia="Times New Roman"/>
      <w:color w:val="06287e"/>
      <w:sz w:val="24"/>
    </w:rPr>
  </w:style>
  <w:style w:type="character" w:customStyle="1" w:styleId="VariableTok">
    <w:name w:val="VariableTok"/>
    <w:basedOn w:val="VerbatimChar"/>
    <w:rPr>
      <w:rFonts w:ascii="Times New Roman" w:hAnsi="Times New Roman" w:eastAsia="Times New Roman"/>
      <w:color w:val="19177c"/>
      <w:sz w:val="24"/>
    </w:rPr>
  </w:style>
  <w:style w:type="character" w:customStyle="1" w:styleId="ControlFlowTok">
    <w:name w:val="ControlFlowTok"/>
    <w:basedOn w:val="VerbatimChar"/>
    <w:rPr>
      <w:color w:val="007020"/>
      <w:rFonts w:ascii="Times New Roman" w:hAnsi="Times New Roman" w:eastAsia="Times New Roman"/>
      <w:b/>
      <w:sz w:val="24"/>
    </w:rPr>
  </w:style>
  <w:style w:type="character" w:customStyle="1" w:styleId="OperatorTok">
    <w:name w:val="OperatorTok"/>
    <w:basedOn w:val="VerbatimChar"/>
    <w:rPr>
      <w:rFonts w:ascii="Times New Roman" w:hAnsi="Times New Roman" w:eastAsia="Times New Roman"/>
      <w:color w:val="666666"/>
      <w:sz w:val="24"/>
    </w:rPr>
  </w:style>
  <w:style w:type="character" w:customStyle="1" w:styleId="BuiltInTok">
    <w:name w:val="BuiltInTok"/>
    <w:basedOn w:val="VerbatimChar"/>
    <w:rPr>
      <w:rFonts w:ascii="Times New Roman" w:hAnsi="Times New Roman" w:eastAsia="Times New Roman"/>
      <w:sz w:val="24"/>
    </w:rPr>
  </w:style>
  <w:style w:type="character" w:customStyle="1" w:styleId="ExtensionTok">
    <w:name w:val="ExtensionTok"/>
    <w:basedOn w:val="VerbatimChar"/>
    <w:rPr>
      <w:rFonts w:ascii="Times New Roman" w:hAnsi="Times New Roman" w:eastAsia="Times New Roman"/>
      <w:sz w:val="24"/>
    </w:rPr>
  </w:style>
  <w:style w:type="character" w:customStyle="1" w:styleId="PreprocessorTok">
    <w:name w:val="PreprocessorTok"/>
    <w:basedOn w:val="VerbatimChar"/>
    <w:rPr>
      <w:rFonts w:ascii="Times New Roman" w:hAnsi="Times New Roman" w:eastAsia="Times New Roman"/>
      <w:color w:val="bc7a00"/>
      <w:sz w:val="24"/>
    </w:rPr>
  </w:style>
  <w:style w:type="character" w:customStyle="1" w:styleId="AttributeTok">
    <w:name w:val="AttributeTok"/>
    <w:basedOn w:val="VerbatimChar"/>
    <w:rPr>
      <w:rFonts w:ascii="Times New Roman" w:hAnsi="Times New Roman" w:eastAsia="Times New Roman"/>
      <w:color w:val="7d9029"/>
      <w:sz w:val="24"/>
    </w:rPr>
  </w:style>
  <w:style w:type="character" w:customStyle="1" w:styleId="RegionMarkerTok">
    <w:name w:val="RegionMarkerTok"/>
    <w:basedOn w:val="VerbatimChar"/>
    <w:rPr>
      <w:rFonts w:ascii="Times New Roman" w:hAnsi="Times New Roman" w:eastAsia="Times New Roman"/>
      <w:sz w:val="24"/>
    </w:rPr>
  </w:style>
  <w:style w:type="character" w:customStyle="1" w:styleId="InformationTok">
    <w:name w:val="InformationTok"/>
    <w:basedOn w:val="VerbatimChar"/>
    <w:rPr>
      <w:color w:val="60a0b0"/>
      <w:rFonts w:ascii="Times New Roman" w:hAnsi="Times New Roman" w:eastAsia="Times New Roman"/>
      <w:b/>
      <w:i/>
      <w:sz w:val="24"/>
    </w:rPr>
  </w:style>
  <w:style w:type="character" w:customStyle="1" w:styleId="WarningTok">
    <w:name w:val="WarningTok"/>
    <w:basedOn w:val="VerbatimChar"/>
    <w:rPr>
      <w:color w:val="60a0b0"/>
      <w:rFonts w:ascii="Times New Roman" w:hAnsi="Times New Roman" w:eastAsia="Times New Roman"/>
      <w:b/>
      <w:i/>
      <w:sz w:val="24"/>
    </w:rPr>
  </w:style>
  <w:style w:type="character" w:customStyle="1" w:styleId="AlertTok">
    <w:name w:val="AlertTok"/>
    <w:basedOn w:val="VerbatimChar"/>
    <w:rPr>
      <w:color w:val="ff0000"/>
      <w:rFonts w:ascii="Times New Roman" w:hAnsi="Times New Roman" w:eastAsia="Times New Roman"/>
      <w:b/>
      <w:sz w:val="24"/>
    </w:rPr>
  </w:style>
  <w:style w:type="character" w:customStyle="1" w:styleId="ErrorTok">
    <w:name w:val="ErrorTok"/>
    <w:basedOn w:val="VerbatimChar"/>
    <w:rPr>
      <w:color w:val="ff0000"/>
      <w:rFonts w:ascii="Times New Roman" w:hAnsi="Times New Roman" w:eastAsia="Times New Roman"/>
      <w:b/>
      <w:sz w:val="24"/>
    </w:rPr>
  </w:style>
  <w:style w:type="character" w:customStyle="1" w:styleId="NormalTok">
    <w:name w:val="NormalTok"/>
    <w:basedOn w:val="VerbatimChar"/>
    <w:rPr>
      <w:rFonts w:ascii="Times New Roman" w:hAnsi="Times New Roman" w:eastAsia="Times New Roman"/>
      <w:sz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7" Type="http://schemas.openxmlformats.org/officeDocument/2006/relationships/image" Target="media/rId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2026-06-05T00:48:55Z</dcterms:created>
  <dcterms:modified xsi:type="dcterms:W3CDTF">2026-06-05T00:48:55Z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