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1D23"/>
          <w:sz w:val="40"/>
          <w:szCs w:val="40"/>
        </w:rPr>
        <w:t xml:space="preserve">MODE OPÉRATOIRE</w:t>
      </w:r>
    </w:p>
    <w:p>
      <w:pPr>
        <w:spacing w:after="240"/>
      </w:pPr>
      <w:r>
        <w:rPr>
          <w:b/>
          <w:bCs/>
          <w:color w:val="1E40AF"/>
          <w:sz w:val="24"/>
          <w:szCs w:val="24"/>
        </w:rPr>
        <w:t xml:space="preserve">Contrôle exutoire mensuel — agence Coved La Riche</w:t>
      </w:r>
    </w:p>
    <w:p>
      <w:pPr>
        <w:pStyle w:val="Heading2"/>
        <w:spacing w:after="100" w:before="240"/>
      </w:pPr>
      <w:r>
        <w:rPr>
          <w:b/>
          <w:bCs/>
          <w:color w:val="1A1D23"/>
          <w:sz w:val="22"/>
          <w:szCs w:val="22"/>
        </w:rPr>
        <w:t xml:space="preserve">Objectif</w:t>
      </w:r>
    </w:p>
    <w:p>
      <w:pPr>
        <w:spacing w:after="120" w:line="300"/>
      </w:pPr>
      <w:r>
        <w:rPr>
          <w:sz w:val="21"/>
          <w:szCs w:val="21"/>
        </w:rPr>
        <w:t xml:space="preserve">Recouper chaque mois les tonnages saisis dans SILEX avec les tonnages réellement reçus par les exutoires, pour détecter rapidement les écarts de saisie et les anomalies avant qu'elles ne s'accumulent.</w:t>
      </w:r>
    </w:p>
    <w:p>
      <w:pPr>
        <w:pStyle w:val="Heading2"/>
        <w:spacing w:after="100" w:before="240"/>
      </w:pPr>
      <w:r>
        <w:rPr>
          <w:b/>
          <w:bCs/>
          <w:color w:val="1A1D23"/>
          <w:sz w:val="22"/>
          <w:szCs w:val="22"/>
        </w:rPr>
        <w:t xml:space="preserve">Fréquence</w:t>
      </w:r>
    </w:p>
    <w:p>
      <w:pPr>
        <w:spacing w:after="120" w:line="300"/>
      </w:pPr>
      <w:r>
        <w:rPr>
          <w:sz w:val="21"/>
          <w:szCs w:val="21"/>
        </w:rPr>
        <w:t xml:space="preserve">Une fois par mois, dès que les 5 fichiers du mois écoulé sont disponibles (en général en tout début de mois suivant).</w:t>
      </w:r>
    </w:p>
    <w:p>
      <w:pPr>
        <w:pStyle w:val="Heading1"/>
        <w:pBdr>
          <w:bottom w:val="single" w:color="1E40AF" w:sz="6" w:space="4"/>
        </w:pBdr>
        <w:spacing w:after="140" w:before="320"/>
      </w:pPr>
      <w:r>
        <w:rPr>
          <w:b/>
          <w:bCs/>
          <w:color w:val="1E40AF"/>
          <w:sz w:val="26"/>
          <w:szCs w:val="26"/>
        </w:rPr>
        <w:t xml:space="preserve">1. Préparer les fichiers</w:t>
      </w:r>
    </w:p>
    <w:p>
      <w:pPr>
        <w:spacing w:after="120" w:line="300"/>
      </w:pPr>
      <w:r>
        <w:rPr>
          <w:sz w:val="21"/>
          <w:szCs w:val="21"/>
        </w:rPr>
        <w:t xml:space="preserve">Rassembler les 5 fichiers Excel du mois à contrôler, sans les modifier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50"/>
        <w:gridCol w:w="3500"/>
      </w:tblGrid>
      <w:tr>
        <w:trPr>
          <w:tblHeader/>
        </w:trPr>
        <w:tc>
          <w:tcPr>
            <w:tcW w:type="dxa" w:w="2400"/>
            <w:shd w:fill="1E40AF" w:val="clear"/>
            <w:tcMar>
              <w:top w:type="dxa" w:w="80"/>
              <w:left w:type="dxa" w:w="100"/>
              <w:bottom w:type="dxa" w:w="80"/>
              <w:right w:type="dxa" w:w="100"/>
            </w:tcMar>
            <w:vAlign w:val="center"/>
          </w:tcPr>
          <w:p>
            <w:pPr>
              <w:jc w:val="left"/>
            </w:pPr>
            <w:r>
              <w:rPr>
                <w:b/>
                <w:bCs/>
                <w:color w:val="FFFFFF"/>
                <w:sz w:val="19"/>
                <w:szCs w:val="19"/>
              </w:rPr>
              <w:t xml:space="preserve">Emplacement</w:t>
            </w:r>
          </w:p>
        </w:tc>
        <w:tc>
          <w:tcPr>
            <w:tcW w:type="dxa" w:w="3450"/>
            <w:shd w:fill="1E40AF" w:val="clear"/>
            <w:tcMar>
              <w:top w:type="dxa" w:w="80"/>
              <w:left w:type="dxa" w:w="100"/>
              <w:bottom w:type="dxa" w:w="80"/>
              <w:right w:type="dxa" w:w="100"/>
            </w:tcMar>
            <w:vAlign w:val="center"/>
          </w:tcPr>
          <w:p>
            <w:pPr>
              <w:jc w:val="left"/>
            </w:pPr>
            <w:r>
              <w:rPr>
                <w:b/>
                <w:bCs/>
                <w:color w:val="FFFFFF"/>
                <w:sz w:val="19"/>
                <w:szCs w:val="19"/>
              </w:rPr>
              <w:t xml:space="preserve">Fichier attendu</w:t>
            </w:r>
          </w:p>
        </w:tc>
        <w:tc>
          <w:tcPr>
            <w:tcW w:type="dxa" w:w="3500"/>
            <w:shd w:fill="1E40AF" w:val="clear"/>
            <w:tcMar>
              <w:top w:type="dxa" w:w="80"/>
              <w:left w:type="dxa" w:w="100"/>
              <w:bottom w:type="dxa" w:w="80"/>
              <w:right w:type="dxa" w:w="100"/>
            </w:tcMar>
            <w:vAlign w:val="center"/>
          </w:tcPr>
          <w:p>
            <w:pPr>
              <w:jc w:val="left"/>
            </w:pPr>
            <w:r>
              <w:rPr>
                <w:b/>
                <w:bCs/>
                <w:color w:val="FFFFFF"/>
                <w:sz w:val="19"/>
                <w:szCs w:val="19"/>
              </w:rPr>
              <w:t xml:space="preserve">Contenu</w:t>
            </w:r>
          </w:p>
        </w:tc>
      </w:tr>
      <w:tr>
        <w:tc>
          <w:tcPr>
            <w:tcW w:type="dxa" w:w="2400"/>
            <w:shd w:fill="FFFFFF" w:val="clear"/>
            <w:tcMar>
              <w:top w:type="dxa" w:w="80"/>
              <w:left w:type="dxa" w:w="100"/>
              <w:bottom w:type="dxa" w:w="80"/>
              <w:right w:type="dxa" w:w="100"/>
            </w:tcMar>
            <w:vAlign w:val="center"/>
          </w:tcPr>
          <w:p>
            <w:pPr>
              <w:jc w:val="left"/>
            </w:pPr>
            <w:r>
              <w:rPr>
                <w:b/>
                <w:bCs/>
                <w:color w:val="1A1D23"/>
                <w:sz w:val="19"/>
                <w:szCs w:val="19"/>
              </w:rPr>
              <w:t xml:space="preserve">SILEX</w:t>
            </w:r>
          </w:p>
        </w:tc>
        <w:tc>
          <w:tcPr>
            <w:tcW w:type="dxa" w:w="3450"/>
            <w:shd w:fill="FFFFFF" w:val="clear"/>
            <w:tcMar>
              <w:top w:type="dxa" w:w="80"/>
              <w:left w:type="dxa" w:w="100"/>
              <w:bottom w:type="dxa" w:w="80"/>
              <w:right w:type="dxa" w:w="100"/>
            </w:tcMar>
            <w:vAlign w:val="center"/>
          </w:tcPr>
          <w:p>
            <w:pPr>
              <w:jc w:val="left"/>
            </w:pPr>
            <w:r>
              <w:rPr>
                <w:b w:val="false"/>
                <w:bCs w:val="false"/>
                <w:color w:val="1A1D23"/>
                <w:sz w:val="19"/>
                <w:szCs w:val="19"/>
              </w:rPr>
              <w:t xml:space="preserve">Services exécutés</w:t>
            </w:r>
          </w:p>
        </w:tc>
        <w:tc>
          <w:tcPr>
            <w:tcW w:type="dxa" w:w="3500"/>
            <w:shd w:fill="FFFFFF" w:val="clear"/>
            <w:tcMar>
              <w:top w:type="dxa" w:w="80"/>
              <w:left w:type="dxa" w:w="100"/>
              <w:bottom w:type="dxa" w:w="80"/>
              <w:right w:type="dxa" w:w="100"/>
            </w:tcMar>
            <w:vAlign w:val="center"/>
          </w:tcPr>
          <w:p>
            <w:pPr>
              <w:jc w:val="left"/>
            </w:pPr>
            <w:r>
              <w:rPr>
                <w:b w:val="false"/>
                <w:bCs w:val="false"/>
                <w:color w:val="1A1D23"/>
                <w:sz w:val="19"/>
                <w:szCs w:val="19"/>
              </w:rPr>
              <w:t xml:space="preserve">Export mensuel SILEX (agence Coved La Riche)</w:t>
            </w:r>
          </w:p>
        </w:tc>
      </w:tr>
      <w:tr>
        <w:tc>
          <w:tcPr>
            <w:tcW w:type="dxa" w:w="2400"/>
            <w:shd w:fill="F7F8FA" w:val="clear"/>
            <w:tcMar>
              <w:top w:type="dxa" w:w="80"/>
              <w:left w:type="dxa" w:w="100"/>
              <w:bottom w:type="dxa" w:w="80"/>
              <w:right w:type="dxa" w:w="100"/>
            </w:tcMar>
            <w:vAlign w:val="center"/>
          </w:tcPr>
          <w:p>
            <w:pPr>
              <w:jc w:val="left"/>
            </w:pPr>
            <w:r>
              <w:rPr>
                <w:b/>
                <w:bCs/>
                <w:color w:val="1A1D23"/>
                <w:sz w:val="19"/>
                <w:szCs w:val="19"/>
              </w:rPr>
              <w:t xml:space="preserve">Déchets verts</w:t>
            </w:r>
          </w:p>
        </w:tc>
        <w:tc>
          <w:tcPr>
            <w:tcW w:type="dxa" w:w="3450"/>
            <w:shd w:fill="F7F8FA" w:val="clear"/>
            <w:tcMar>
              <w:top w:type="dxa" w:w="80"/>
              <w:left w:type="dxa" w:w="100"/>
              <w:bottom w:type="dxa" w:w="80"/>
              <w:right w:type="dxa" w:w="100"/>
            </w:tcMar>
            <w:vAlign w:val="center"/>
          </w:tcPr>
          <w:p>
            <w:pPr>
              <w:jc w:val="left"/>
            </w:pPr>
            <w:r>
              <w:rPr>
                <w:b w:val="false"/>
                <w:bCs w:val="false"/>
                <w:color w:val="1A1D23"/>
                <w:sz w:val="19"/>
                <w:szCs w:val="19"/>
              </w:rPr>
              <w:t xml:space="preserve">Export Coved (déchets verts)</w:t>
            </w:r>
          </w:p>
        </w:tc>
        <w:tc>
          <w:tcPr>
            <w:tcW w:type="dxa" w:w="3500"/>
            <w:shd w:fill="F7F8FA" w:val="clear"/>
            <w:tcMar>
              <w:top w:type="dxa" w:w="80"/>
              <w:left w:type="dxa" w:w="100"/>
              <w:bottom w:type="dxa" w:w="80"/>
              <w:right w:type="dxa" w:w="100"/>
            </w:tcMar>
            <w:vAlign w:val="center"/>
          </w:tcPr>
          <w:p>
            <w:pPr>
              <w:jc w:val="left"/>
            </w:pPr>
            <w:r>
              <w:rPr>
                <w:b w:val="false"/>
                <w:bCs w:val="false"/>
                <w:color w:val="1A1D23"/>
                <w:sz w:val="19"/>
                <w:szCs w:val="19"/>
              </w:rPr>
              <w:t xml:space="preserve">Export du prestataire déchets verts</w:t>
            </w:r>
          </w:p>
        </w:tc>
      </w:tr>
      <w:tr>
        <w:tc>
          <w:tcPr>
            <w:tcW w:type="dxa" w:w="2400"/>
            <w:shd w:fill="FFFFFF" w:val="clear"/>
            <w:tcMar>
              <w:top w:type="dxa" w:w="80"/>
              <w:left w:type="dxa" w:w="100"/>
              <w:bottom w:type="dxa" w:w="80"/>
              <w:right w:type="dxa" w:w="100"/>
            </w:tcMar>
            <w:vAlign w:val="center"/>
          </w:tcPr>
          <w:p>
            <w:pPr>
              <w:jc w:val="left"/>
            </w:pPr>
            <w:r>
              <w:rPr>
                <w:b/>
                <w:bCs/>
                <w:color w:val="1A1D23"/>
                <w:sz w:val="19"/>
                <w:szCs w:val="19"/>
              </w:rPr>
              <w:t xml:space="preserve">OM — extractions</w:t>
            </w:r>
          </w:p>
        </w:tc>
        <w:tc>
          <w:tcPr>
            <w:tcW w:type="dxa" w:w="3450"/>
            <w:shd w:fill="FFFFFF" w:val="clear"/>
            <w:tcMar>
              <w:top w:type="dxa" w:w="80"/>
              <w:left w:type="dxa" w:w="100"/>
              <w:bottom w:type="dxa" w:w="80"/>
              <w:right w:type="dxa" w:w="100"/>
            </w:tcMar>
            <w:vAlign w:val="center"/>
          </w:tcPr>
          <w:p>
            <w:pPr>
              <w:jc w:val="left"/>
            </w:pPr>
            <w:r>
              <w:rPr>
                <w:b w:val="false"/>
                <w:bCs w:val="false"/>
                <w:color w:val="1A1D23"/>
                <w:sz w:val="19"/>
                <w:szCs w:val="19"/>
              </w:rPr>
              <w:t xml:space="preserve">Extractions fin de mois COVED</w:t>
            </w:r>
          </w:p>
        </w:tc>
        <w:tc>
          <w:tcPr>
            <w:tcW w:type="dxa" w:w="3500"/>
            <w:shd w:fill="FFFFFF" w:val="clear"/>
            <w:tcMar>
              <w:top w:type="dxa" w:w="80"/>
              <w:left w:type="dxa" w:w="100"/>
              <w:bottom w:type="dxa" w:w="80"/>
              <w:right w:type="dxa" w:w="100"/>
            </w:tcMar>
            <w:vAlign w:val="center"/>
          </w:tcPr>
          <w:p>
            <w:pPr>
              <w:jc w:val="left"/>
            </w:pPr>
            <w:r>
              <w:rPr>
                <w:b w:val="false"/>
                <w:bCs w:val="false"/>
                <w:color w:val="1A1D23"/>
                <w:sz w:val="19"/>
                <w:szCs w:val="19"/>
              </w:rPr>
              <w:t xml:space="preserve">Export fin de mois, ordures ménagères</w:t>
            </w:r>
          </w:p>
        </w:tc>
      </w:tr>
      <w:tr>
        <w:tc>
          <w:tcPr>
            <w:tcW w:type="dxa" w:w="2400"/>
            <w:shd w:fill="F7F8FA" w:val="clear"/>
            <w:tcMar>
              <w:top w:type="dxa" w:w="80"/>
              <w:left w:type="dxa" w:w="100"/>
              <w:bottom w:type="dxa" w:w="80"/>
              <w:right w:type="dxa" w:w="100"/>
            </w:tcMar>
            <w:vAlign w:val="center"/>
          </w:tcPr>
          <w:p>
            <w:pPr>
              <w:jc w:val="left"/>
            </w:pPr>
            <w:r>
              <w:rPr>
                <w:b/>
                <w:bCs/>
                <w:color w:val="1A1D23"/>
                <w:sz w:val="19"/>
                <w:szCs w:val="19"/>
              </w:rPr>
              <w:t xml:space="preserve">CS — tickets</w:t>
            </w:r>
          </w:p>
        </w:tc>
        <w:tc>
          <w:tcPr>
            <w:tcW w:type="dxa" w:w="3450"/>
            <w:shd w:fill="F7F8FA" w:val="clear"/>
            <w:tcMar>
              <w:top w:type="dxa" w:w="80"/>
              <w:left w:type="dxa" w:w="100"/>
              <w:bottom w:type="dxa" w:w="80"/>
              <w:right w:type="dxa" w:w="100"/>
            </w:tcMar>
            <w:vAlign w:val="center"/>
          </w:tcPr>
          <w:p>
            <w:pPr>
              <w:jc w:val="left"/>
            </w:pPr>
            <w:r>
              <w:rPr>
                <w:b w:val="false"/>
                <w:bCs w:val="false"/>
                <w:color w:val="1A1D23"/>
                <w:sz w:val="19"/>
                <w:szCs w:val="19"/>
              </w:rPr>
              <w:t xml:space="preserve">Liste tickets CS</w:t>
            </w:r>
          </w:p>
        </w:tc>
        <w:tc>
          <w:tcPr>
            <w:tcW w:type="dxa" w:w="3500"/>
            <w:shd w:fill="F7F8FA" w:val="clear"/>
            <w:tcMar>
              <w:top w:type="dxa" w:w="80"/>
              <w:left w:type="dxa" w:w="100"/>
              <w:bottom w:type="dxa" w:w="80"/>
              <w:right w:type="dxa" w:w="100"/>
            </w:tcMar>
            <w:vAlign w:val="center"/>
          </w:tcPr>
          <w:p>
            <w:pPr>
              <w:jc w:val="left"/>
            </w:pPr>
            <w:r>
              <w:rPr>
                <w:b w:val="false"/>
                <w:bCs w:val="false"/>
                <w:color w:val="1A1D23"/>
                <w:sz w:val="19"/>
                <w:szCs w:val="19"/>
              </w:rPr>
              <w:t xml:space="preserve">Tickets de pesée collecte sélective (mois)</w:t>
            </w:r>
          </w:p>
        </w:tc>
      </w:tr>
      <w:tr>
        <w:tc>
          <w:tcPr>
            <w:tcW w:type="dxa" w:w="2400"/>
            <w:shd w:fill="FFFFFF" w:val="clear"/>
            <w:tcMar>
              <w:top w:type="dxa" w:w="80"/>
              <w:left w:type="dxa" w:w="100"/>
              <w:bottom w:type="dxa" w:w="80"/>
              <w:right w:type="dxa" w:w="100"/>
            </w:tcMar>
            <w:vAlign w:val="center"/>
          </w:tcPr>
          <w:p>
            <w:pPr>
              <w:jc w:val="left"/>
            </w:pPr>
            <w:r>
              <w:rPr>
                <w:b/>
                <w:bCs/>
                <w:color w:val="1A1D23"/>
                <w:sz w:val="19"/>
                <w:szCs w:val="19"/>
              </w:rPr>
              <w:t xml:space="preserve">OM — tickets</w:t>
            </w:r>
          </w:p>
        </w:tc>
        <w:tc>
          <w:tcPr>
            <w:tcW w:type="dxa" w:w="3450"/>
            <w:shd w:fill="FFFFFF" w:val="clear"/>
            <w:tcMar>
              <w:top w:type="dxa" w:w="80"/>
              <w:left w:type="dxa" w:w="100"/>
              <w:bottom w:type="dxa" w:w="80"/>
              <w:right w:type="dxa" w:w="100"/>
            </w:tcMar>
            <w:vAlign w:val="center"/>
          </w:tcPr>
          <w:p>
            <w:pPr>
              <w:jc w:val="left"/>
            </w:pPr>
            <w:r>
              <w:rPr>
                <w:b w:val="false"/>
                <w:bCs w:val="false"/>
                <w:color w:val="1A1D23"/>
                <w:sz w:val="19"/>
                <w:szCs w:val="19"/>
              </w:rPr>
              <w:t xml:space="preserve">Liste tickets OM</w:t>
            </w:r>
          </w:p>
        </w:tc>
        <w:tc>
          <w:tcPr>
            <w:tcW w:type="dxa" w:w="3500"/>
            <w:shd w:fill="FFFFFF" w:val="clear"/>
            <w:tcMar>
              <w:top w:type="dxa" w:w="80"/>
              <w:left w:type="dxa" w:w="100"/>
              <w:bottom w:type="dxa" w:w="80"/>
              <w:right w:type="dxa" w:w="100"/>
            </w:tcMar>
            <w:vAlign w:val="center"/>
          </w:tcPr>
          <w:p>
            <w:pPr>
              <w:jc w:val="left"/>
            </w:pPr>
            <w:r>
              <w:rPr>
                <w:b w:val="false"/>
                <w:bCs w:val="false"/>
                <w:color w:val="1A1D23"/>
                <w:sz w:val="19"/>
                <w:szCs w:val="19"/>
              </w:rPr>
              <w:t xml:space="preserve">Tickets de pesée ordures ménagères (mois)</w:t>
            </w:r>
          </w:p>
        </w:tc>
      </w:tr>
    </w:tbl>
    <w:p>
      <w:pPr>
        <w:spacing w:before="160"/>
      </w:pPr>
    </w:p>
    <w:p>
      <w:pPr>
        <w:spacing w:after="120" w:line="300"/>
      </w:pPr>
      <w:r>
        <w:rPr>
          <w:i/>
          <w:iCs/>
          <w:color w:val="6B7280"/>
          <w:sz w:val="19"/>
          <w:szCs w:val="19"/>
        </w:rPr>
        <w:t xml:space="preserve">Astuce : garder les 5 fichiers dans un même dossier nommé par mois (ex. « 2026-08 ») facilite le contrôle et le classement.</w:t>
      </w:r>
    </w:p>
    <w:p>
      <w:pPr>
        <w:pStyle w:val="Heading1"/>
        <w:pBdr>
          <w:bottom w:val="single" w:color="1E40AF" w:sz="6" w:space="4"/>
        </w:pBdr>
        <w:spacing w:after="140" w:before="320"/>
      </w:pPr>
      <w:r>
        <w:rPr>
          <w:b/>
          <w:bCs/>
          <w:color w:val="1E40AF"/>
          <w:sz w:val="26"/>
          <w:szCs w:val="26"/>
        </w:rPr>
        <w:t xml:space="preserve">2. Lancer l'analyse</w:t>
      </w:r>
    </w:p>
    <w:p>
      <w:pPr>
        <w:pStyle w:val="ListParagraph"/>
        <w:numPr>
          <w:ilvl w:val="0"/>
          <w:numId w:val="2"/>
        </w:numPr>
        <w:spacing w:after="60" w:before="160" w:line="300"/>
      </w:pPr>
      <w:r>
        <w:rPr>
          <w:b/>
          <w:bCs/>
          <w:color w:val="1A1D23"/>
          <w:sz w:val="22"/>
          <w:szCs w:val="22"/>
        </w:rPr>
        <w:t xml:space="preserve">Ouvrir l'outil</w:t>
      </w:r>
    </w:p>
    <w:p>
      <w:pPr>
        <w:spacing w:after="100" w:line="280"/>
        <w:ind w:left="504"/>
      </w:pPr>
      <w:r>
        <w:rPr>
          <w:sz w:val="20"/>
          <w:szCs w:val="20"/>
        </w:rPr>
        <w:t xml:space="preserve">Double-cliquer sur le fichier controle_exutoire_coved-la-riche.html pour l'ouvrir dans le navigateur (Chrome, Edge ou Firefox). Aucune installation, aucune connexion internet requise — l'outil fonctionne seul.</w:t>
      </w:r>
    </w:p>
    <w:p>
      <w:pPr>
        <w:pStyle w:val="ListParagraph"/>
        <w:numPr>
          <w:ilvl w:val="0"/>
          <w:numId w:val="2"/>
        </w:numPr>
        <w:spacing w:after="60" w:before="160" w:line="300"/>
      </w:pPr>
      <w:r>
        <w:rPr>
          <w:b/>
          <w:bCs/>
          <w:color w:val="1A1D23"/>
          <w:sz w:val="22"/>
          <w:szCs w:val="22"/>
        </w:rPr>
        <w:t xml:space="preserve">Charger les 5 fichiers</w:t>
      </w:r>
    </w:p>
    <w:p>
      <w:pPr>
        <w:spacing w:after="100" w:line="280"/>
        <w:ind w:left="504"/>
      </w:pPr>
      <w:r>
        <w:rPr>
          <w:sz w:val="20"/>
          <w:szCs w:val="20"/>
        </w:rPr>
        <w:t xml:space="preserve">Cliquer sur chacune des 5 cases d'import et sélectionner le fichier correspondant. Une case devient verte une fois le fichier chargé.</w:t>
      </w:r>
    </w:p>
    <w:p>
      <w:pPr>
        <w:pStyle w:val="ListParagraph"/>
        <w:numPr>
          <w:ilvl w:val="0"/>
          <w:numId w:val="2"/>
        </w:numPr>
        <w:spacing w:after="60" w:before="160" w:line="300"/>
      </w:pPr>
      <w:r>
        <w:rPr>
          <w:b/>
          <w:bCs/>
          <w:color w:val="1A1D23"/>
          <w:sz w:val="22"/>
          <w:szCs w:val="22"/>
        </w:rPr>
        <w:t xml:space="preserve">Lancer l'analyse</w:t>
      </w:r>
    </w:p>
    <w:p>
      <w:pPr>
        <w:spacing w:after="100" w:line="280"/>
        <w:ind w:left="504"/>
      </w:pPr>
      <w:r>
        <w:rPr>
          <w:sz w:val="20"/>
          <w:szCs w:val="20"/>
        </w:rPr>
        <w:t xml:space="preserve">Le bouton « ▶ Analyser » devient actif une fois les 5 fichiers chargés. Cliquer dessus : les résultats s'affichent en quelques secondes.</w:t>
      </w:r>
    </w:p>
    <w:p>
      <w:pPr>
        <w:pStyle w:val="Heading1"/>
        <w:pBdr>
          <w:bottom w:val="single" w:color="1E40AF" w:sz="6" w:space="4"/>
        </w:pBdr>
        <w:spacing w:after="140" w:before="320"/>
      </w:pPr>
      <w:r>
        <w:rPr>
          <w:b/>
          <w:bCs/>
          <w:color w:val="1E40AF"/>
          <w:sz w:val="26"/>
          <w:szCs w:val="26"/>
        </w:rPr>
        <w:t xml:space="preserve">3. Lire les résultats</w:t>
      </w:r>
    </w:p>
    <w:p>
      <w:pPr>
        <w:spacing w:after="120" w:line="300"/>
      </w:pPr>
      <w:r>
        <w:rPr>
          <w:sz w:val="21"/>
          <w:szCs w:val="21"/>
        </w:rPr>
        <w:t xml:space="preserve">Les résultats sont répartis par onglet, un par flux (CS-EMR, OM, DÉCHETS VERTS...).</w:t>
      </w:r>
    </w:p>
    <w:p>
      <w:pPr>
        <w:pStyle w:val="ListParagraph"/>
        <w:numPr>
          <w:ilvl w:val="0"/>
          <w:numId w:val="3"/>
        </w:numPr>
        <w:spacing w:after="80" w:line="280"/>
      </w:pPr>
      <w:r>
        <w:rPr>
          <w:sz w:val="21"/>
          <w:szCs w:val="21"/>
        </w:rPr>
        <w:t xml:space="preserve">En haut de chaque onglet : les totaux du mois — tonnage SILEX, tonnage exutoires, écart absolu et écart en %.</w:t>
      </w:r>
    </w:p>
    <w:p>
      <w:pPr>
        <w:pStyle w:val="ListParagraph"/>
        <w:numPr>
          <w:ilvl w:val="0"/>
          <w:numId w:val="3"/>
        </w:numPr>
        <w:spacing w:after="80" w:line="280"/>
      </w:pPr>
      <w:r>
        <w:rPr>
          <w:sz w:val="21"/>
          <w:szCs w:val="21"/>
        </w:rPr>
        <w:t xml:space="preserve">En dessous : un bloc par jour, à déplier pour voir le détail par tournée (SILEX / sources exutoires / écart).</w:t>
      </w:r>
    </w:p>
    <w:p>
      <w:pPr>
        <w:pStyle w:val="ListParagraph"/>
        <w:numPr>
          <w:ilvl w:val="0"/>
          <w:numId w:val="3"/>
        </w:numPr>
        <w:spacing w:after="80" w:line="280"/>
      </w:pPr>
      <w:r>
        <w:rPr>
          <w:sz w:val="21"/>
          <w:szCs w:val="21"/>
        </w:rPr>
        <w:t xml:space="preserve">Le code couleur signale la sévérité de l'écart :</w:t>
      </w:r>
    </w:p>
    <w:p>
      <w:pPr>
        <w:spacing w:after="160" w:before="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50"/>
      </w:tblGrid>
      <w:tr>
        <w:tc>
          <w:tcPr>
            <w:tcW w:type="dxa" w:w="3100"/>
            <w:shd w:fill="ECFDF5" w:val="clear"/>
            <w:tcMar>
              <w:top w:type="dxa" w:w="100"/>
              <w:left w:type="dxa" w:w="120"/>
              <w:bottom w:type="dxa" w:w="100"/>
              <w:right w:type="dxa" w:w="120"/>
            </w:tcMar>
          </w:tcPr>
          <w:p>
            <w:pPr>
              <w:jc w:val="center"/>
            </w:pPr>
            <w:r>
              <w:rPr>
                <w:b/>
                <w:bCs/>
                <w:color w:val="059669"/>
                <w:sz w:val="19"/>
                <w:szCs w:val="19"/>
              </w:rPr>
              <w:t xml:space="preserve">✓  Écart &lt; 2 %</w:t>
            </w:r>
          </w:p>
        </w:tc>
        <w:tc>
          <w:tcPr>
            <w:tcW w:type="dxa" w:w="3100"/>
            <w:shd w:fill="FFFBEB" w:val="clear"/>
            <w:tcMar>
              <w:top w:type="dxa" w:w="100"/>
              <w:left w:type="dxa" w:w="120"/>
              <w:bottom w:type="dxa" w:w="100"/>
              <w:right w:type="dxa" w:w="120"/>
            </w:tcMar>
          </w:tcPr>
          <w:p>
            <w:pPr>
              <w:jc w:val="center"/>
            </w:pPr>
            <w:r>
              <w:rPr>
                <w:b/>
                <w:bCs/>
                <w:color w:val="D97706"/>
                <w:sz w:val="19"/>
                <w:szCs w:val="19"/>
              </w:rPr>
              <w:t xml:space="preserve">⚠  Écart 2 à 5 %</w:t>
            </w:r>
          </w:p>
        </w:tc>
        <w:tc>
          <w:tcPr>
            <w:tcW w:type="dxa" w:w="3150"/>
            <w:shd w:fill="FEF2F2" w:val="clear"/>
            <w:tcMar>
              <w:top w:type="dxa" w:w="100"/>
              <w:left w:type="dxa" w:w="120"/>
              <w:bottom w:type="dxa" w:w="100"/>
              <w:right w:type="dxa" w:w="120"/>
            </w:tcMar>
          </w:tcPr>
          <w:p>
            <w:pPr>
              <w:jc w:val="center"/>
            </w:pPr>
            <w:r>
              <w:rPr>
                <w:b/>
                <w:bCs/>
                <w:color w:val="DC2626"/>
                <w:sz w:val="19"/>
                <w:szCs w:val="19"/>
              </w:rPr>
              <w:t xml:space="preserve">✕  Écart &gt; 5 %</w:t>
            </w:r>
          </w:p>
        </w:tc>
      </w:tr>
    </w:tbl>
    <w:p>
      <w:pPr>
        <w:spacing w:before="160"/>
      </w:pPr>
    </w:p>
    <w:p>
      <w:pPr>
        <w:spacing w:after="120" w:line="300"/>
      </w:pPr>
      <w:r>
        <w:rPr>
          <w:sz w:val="21"/>
          <w:szCs w:val="21"/>
        </w:rPr>
        <w:t xml:space="preserve">Un écart rouge (✕) ne veut pas toujours dire qu'il y a une erreur — cela peut aussi signaler un fichier exutoire manquant pour une partie du flux. Voir la section « Points de vigilance » ci-dessous avant de conclure.</w:t>
      </w:r>
    </w:p>
    <w:p>
      <w:pPr>
        <w:pStyle w:val="Heading1"/>
        <w:pBdr>
          <w:bottom w:val="single" w:color="1E40AF" w:sz="6" w:space="4"/>
        </w:pBdr>
        <w:spacing w:after="140" w:before="320"/>
      </w:pPr>
      <w:r>
        <w:rPr>
          <w:b/>
          <w:bCs/>
          <w:color w:val="1E40AF"/>
          <w:sz w:val="26"/>
          <w:szCs w:val="26"/>
        </w:rPr>
        <w:t xml:space="preserve">4. Suivre la qualité dans le temps</w:t>
      </w:r>
    </w:p>
    <w:p>
      <w:pPr>
        <w:spacing w:after="120" w:line="300"/>
      </w:pPr>
      <w:r>
        <w:rPr>
          <w:sz w:val="21"/>
          <w:szCs w:val="21"/>
        </w:rPr>
        <w:t xml:space="preserve">L'onglet « 📊 Suivi qualité » (dans la même barre que les onglets de flux) enregistre automatiquement chaque contrôle effectué, avec :</w:t>
      </w:r>
    </w:p>
    <w:p>
      <w:pPr>
        <w:pStyle w:val="ListParagraph"/>
        <w:numPr>
          <w:ilvl w:val="0"/>
          <w:numId w:val="3"/>
        </w:numPr>
        <w:spacing w:after="80" w:line="280"/>
      </w:pPr>
      <w:r>
        <w:rPr>
          <w:sz w:val="21"/>
          <w:szCs w:val="21"/>
        </w:rPr>
        <w:t xml:space="preserve">Des statistiques par flux : nombre de contrôles, écart moyen, écart min/max, répartition ✓ / ⚠ / ✕, et la tendance (amélioration ou dégradation) par rapport au contrôle précédent.</w:t>
      </w:r>
    </w:p>
    <w:p>
      <w:pPr>
        <w:pStyle w:val="ListParagraph"/>
        <w:numPr>
          <w:ilvl w:val="0"/>
          <w:numId w:val="3"/>
        </w:numPr>
        <w:spacing w:after="80" w:line="280"/>
      </w:pPr>
      <w:r>
        <w:rPr>
          <w:sz w:val="21"/>
          <w:szCs w:val="21"/>
        </w:rPr>
        <w:t xml:space="preserve">Le détail chronologique de tous les contrôles passés, exportable en CSV (bouton « ⬇ Exporter en CSV ») pour construire un suivi ou un rapport dans un tableur.</w:t>
      </w:r>
    </w:p>
    <w:p>
      <w:pPr>
        <w:spacing w:after="120" w:line="300"/>
      </w:pPr>
      <w:r>
        <w:rPr>
          <w:b/>
          <w:bCs/>
          <w:color w:val="D97706"/>
          <w:sz w:val="21"/>
          <w:szCs w:val="21"/>
        </w:rPr>
        <w:t xml:space="preserve">Cet historique est conservé dans le navigateur de cet ordinateur : il faut utiliser le même poste et le même navigateur chaque mois pour que le suivi reste continu.</w:t>
      </w:r>
    </w:p>
    <w:p>
      <w:pPr>
        <w:pStyle w:val="Heading1"/>
        <w:pBdr>
          <w:bottom w:val="single" w:color="1E40AF" w:sz="6" w:space="4"/>
        </w:pBdr>
        <w:spacing w:after="140" w:before="320"/>
      </w:pPr>
      <w:r>
        <w:rPr>
          <w:b/>
          <w:bCs/>
          <w:color w:val="1E40AF"/>
          <w:sz w:val="26"/>
          <w:szCs w:val="26"/>
        </w:rPr>
        <w:t xml:space="preserve">5. Points de vigilance connus</w:t>
      </w:r>
    </w:p>
    <w:p>
      <w:pPr>
        <w:pStyle w:val="ListParagraph"/>
        <w:numPr>
          <w:ilvl w:val="0"/>
          <w:numId w:val="3"/>
        </w:numPr>
        <w:spacing w:after="80" w:line="280"/>
      </w:pPr>
      <w:r>
        <w:rPr>
          <w:sz w:val="21"/>
          <w:szCs w:val="21"/>
        </w:rPr>
        <w:t xml:space="preserve">Le flux CS-EMR additionne les vidages « COVED - LA RICHE » et « COVED LOCHES » du fichier de tickets CS (les deux comptent dans le total).</w:t>
      </w:r>
    </w:p>
    <w:p>
      <w:pPr>
        <w:pStyle w:val="ListParagraph"/>
        <w:numPr>
          <w:ilvl w:val="0"/>
          <w:numId w:val="3"/>
        </w:numPr>
        <w:spacing w:after="80" w:line="280"/>
      </w:pPr>
      <w:r>
        <w:rPr>
          <w:sz w:val="21"/>
          <w:szCs w:val="21"/>
        </w:rPr>
        <w:t xml:space="preserve">Un écart important et récurrent sur CS-EMR peut indiquer qu'un exutoire n'est pas encore couvert par un fichier reçu (ex. PAPREC Touraine, Tours Plus) — à vérifier auprès de l'exploitation avant de considérer cela comme une erreur de saisie.</w:t>
      </w:r>
    </w:p>
    <w:p>
      <w:pPr>
        <w:pStyle w:val="ListParagraph"/>
        <w:numPr>
          <w:ilvl w:val="0"/>
          <w:numId w:val="3"/>
        </w:numPr>
        <w:spacing w:after="80" w:line="280"/>
      </w:pPr>
      <w:r>
        <w:rPr>
          <w:sz w:val="21"/>
          <w:szCs w:val="21"/>
        </w:rPr>
        <w:t xml:space="preserve">Les flux CS-CARTON et DIB ne sont volontairement pas contrôlés (aucun fichier exutoire correspondant reçu à ce jour).</w:t>
      </w:r>
    </w:p>
    <w:p>
      <w:pPr>
        <w:pStyle w:val="ListParagraph"/>
        <w:numPr>
          <w:ilvl w:val="0"/>
          <w:numId w:val="3"/>
        </w:numPr>
        <w:spacing w:after="80" w:line="280"/>
      </w:pPr>
      <w:r>
        <w:rPr>
          <w:sz w:val="21"/>
          <w:szCs w:val="21"/>
        </w:rPr>
        <w:t xml:space="preserve">Si un contrôle affiche « SILEX absent » ou « Exutoire absent » sur un jour donné, vérifier en premier lieu que le bon fichier a bien été chargé pour ce mois.</w:t>
      </w:r>
    </w:p>
    <w:p>
      <w:pPr>
        <w:pStyle w:val="Heading1"/>
        <w:pBdr>
          <w:bottom w:val="single" w:color="1E40AF" w:sz="6" w:space="4"/>
        </w:pBdr>
        <w:spacing w:after="140" w:before="320"/>
      </w:pPr>
      <w:r>
        <w:rPr>
          <w:b/>
          <w:bCs/>
          <w:color w:val="1E40AF"/>
          <w:sz w:val="26"/>
          <w:szCs w:val="26"/>
        </w:rPr>
        <w:t xml:space="preserve">En cas de problème</w:t>
      </w:r>
    </w:p>
    <w:p>
      <w:pPr>
        <w:spacing w:after="120" w:line="300"/>
      </w:pPr>
      <w:r>
        <w:rPr>
          <w:sz w:val="21"/>
          <w:szCs w:val="21"/>
        </w:rPr>
        <w:t xml:space="preserve">Si un fichier ne se charge pas ou si un message d'erreur apparaît, vérifier que le fichier Excel n'a pas été renommé ou restructuré (colonnes déplacées, onglet renommé). L'outil attend une structure de colonnes précise pour chaque fichier source.</w:t>
      </w:r>
    </w:p>
    <w:sectPr>
      <w:headerReference w:type="default" r:id="rId7"/>
      <w:footerReference w:type="default" r:id="rId8"/>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1E8" w:sz="4" w:space="6"/>
      </w:pBdr>
      <w:jc w:val="center"/>
    </w:pPr>
    <w:r>
      <w:rPr>
        <w:color w:val="6B7280"/>
        <w:sz w:val="15"/>
        <w:szCs w:val="15"/>
      </w:rPr>
      <w:t xml:space="preserve">Mode opératoire — recoupement mensuel des tonnages  •  Page </w:t>
    </w:r>
    <w:r>
      <w:rPr>
        <w:color w:val="6B7280"/>
        <w:sz w:val="15"/>
        <w:szCs w:val="15"/>
      </w:rPr>
      <w:fldChar w:fldCharType="begin"/>
      <w:instrText xml:space="preserve">PAGE</w:instrText>
      <w:fldChar w:fldCharType="separate"/>
      <w:fldChar w:fldCharType="end"/>
    </w:r>
    <w:r>
      <w:rPr>
        <w:color w:val="6B7280"/>
        <w:sz w:val="15"/>
        <w:szCs w:val="15"/>
      </w:rPr>
      <w:t xml:space="preserve"> / </w:t>
    </w:r>
    <w:r>
      <w:rPr>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1E8" w:sz="4" w:space="6"/>
      </w:pBdr>
    </w:pPr>
    <w:r>
      <w:rPr>
        <w:b/>
        <w:bCs/>
        <w:color w:val="6B7280"/>
        <w:sz w:val="17"/>
        <w:szCs w:val="17"/>
      </w:rPr>
      <w:t xml:space="preserve">♻  Contrôle exutoire — Coved La Riche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03" w:hanging="403"/>
      </w:pPr>
    </w:lvl>
  </w:abstractNum>
  <w:abstractNum w:abstractNumId="3" w15:restartNumberingAfterBreak="0">
    <w:multiLevelType w:val="hybridMultilevel"/>
    <w:lvl w:ilvl="0" w15:tentative="1">
      <w:start w:val="1"/>
      <w:numFmt w:val="bullet"/>
      <w:lvlText w:val="•"/>
      <w:lvlJc w:val="start"/>
      <w:pPr>
        <w:ind w:left="403" w:hanging="288"/>
      </w:pPr>
    </w:lvl>
  </w:abstractNum>
  <w:abstractNum w:abstractNumId="4" w15:restartNumberingAfterBreak="0">
    <w:multiLevelType w:val="hybridMultilevel"/>
    <w:lvl w:ilvl="0" w15:tentative="1">
      <w:start w:val="1"/>
      <w:numFmt w:val="bullet"/>
      <w:lvlText w:val="–"/>
      <w:lvlJc w:val="start"/>
      <w:pPr>
        <w:ind w:left="936"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2026-09-17T10:10:57.091Z</dcterms:created>
  <dcterms:modified xsi:type="dcterms:W3CDTF">2026-09-17T10:10:57.091Z</dcterms:modified>
</cp:coreProperties>
</file>

<file path=docProps/custom.xml><?xml version="1.0" encoding="utf-8"?>
<Properties xmlns="http://schemas.openxmlformats.org/officeDocument/2006/custom-properties" xmlns:vt="http://schemas.openxmlformats.org/officeDocument/2006/docPropsVTypes"/>
</file>